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keepLines/>
        <w:pageBreakBefore w:val="0"/>
        <w:widowControl/>
        <w:spacing w:line="480" w:lineRule="auto" w:before="0" w:after="480"/>
        <w:ind w:left="0" w:right="0" w:firstLine="0"/>
        <w:jc w:val="center"/>
      </w:pPr>
      <w:r>
        <w:rPr>
          <w:rFonts w:ascii="Times New Roman" w:hAnsi="Times New Roman"/>
          <w:b/>
          <w:caps w:val="0"/>
          <w:color w:val="000000"/>
          <w:u w:val="none"/>
        </w:rPr>
        <w:t>A Systematic Literature Review of Intelligent Tutoring Systems in Post-Secondary Writing Instruction: Cognitive, Affective, and Formative Dimensions</w:t>
      </w:r>
    </w:p>
    <w:p>
      <w:pPr>
        <w:pStyle w:val="TitleAuthor"/>
        <w:keepNext/>
        <w:keepLines/>
        <w:pageBreakBefore w:val="0"/>
        <w:spacing w:line="480" w:lineRule="auto" w:before="0" w:after="0"/>
        <w:ind w:left="0" w:right="0" w:firstLine="0"/>
        <w:jc w:val="center"/>
      </w:pPr>
      <w:r>
        <w:rPr>
          <w:caps w:val="0"/>
        </w:rPr>
        <w:t>Hannah M. Zhao</w:t>
      </w:r>
    </w:p>
    <w:p>
      <w:pPr>
        <w:pStyle w:val="TitleDepartment"/>
        <w:keepNext/>
        <w:keepLines/>
        <w:pageBreakBefore w:val="0"/>
        <w:spacing w:line="480" w:lineRule="auto" w:before="0" w:after="0"/>
        <w:ind w:left="0" w:right="0" w:firstLine="0"/>
        <w:jc w:val="center"/>
      </w:pPr>
      <w:r>
        <w:rPr>
          <w:caps w:val="0"/>
        </w:rPr>
        <w:t>Department of Curriculum and Instruction, University of Wisconsin–Madison</w:t>
      </w:r>
    </w:p>
    <w:p>
      <w:pPr>
        <w:pStyle w:val="TitleCourse"/>
        <w:keepNext/>
        <w:keepLines/>
        <w:pageBreakBefore w:val="0"/>
        <w:spacing w:line="480" w:lineRule="auto" w:before="0" w:after="0"/>
        <w:ind w:left="0" w:right="0" w:firstLine="0"/>
        <w:jc w:val="center"/>
      </w:pPr>
      <w:r>
        <w:rPr>
          <w:caps w:val="0"/>
        </w:rPr>
        <w:t>CURR 725: Advanced Syntheses of Empirical Educational Research</w:t>
      </w:r>
    </w:p>
    <w:p>
      <w:pPr>
        <w:pStyle w:val="TitleInstructor"/>
        <w:keepNext/>
        <w:keepLines/>
        <w:pageBreakBefore w:val="0"/>
        <w:spacing w:line="480" w:lineRule="auto" w:before="0" w:after="0"/>
        <w:ind w:left="0" w:right="0" w:firstLine="0"/>
        <w:jc w:val="center"/>
      </w:pPr>
      <w:r>
        <w:rPr>
          <w:caps w:val="0"/>
        </w:rPr>
        <w:t>Dr. Gregory Sterling</w:t>
      </w:r>
    </w:p>
    <w:p>
      <w:pPr>
        <w:pStyle w:val="TitleDate"/>
        <w:keepNext w:val="0"/>
        <w:keepLines/>
        <w:pageBreakBefore w:val="0"/>
        <w:spacing w:line="480" w:lineRule="auto" w:before="0" w:after="480"/>
        <w:ind w:left="0" w:right="0" w:firstLine="0"/>
        <w:jc w:val="center"/>
        <w:sectPr w:rsidR="00FC693F" w:rsidRPr="0006063C" w:rsidSect="00034616">
          <w:headerReference w:type="default" r:id="rId9"/>
          <w:headerReference w:type="first" r:id="rId10"/>
          <w:headerReference w:type="even" r:id="rId11"/>
          <w:footerReference w:type="default" r:id="rId12"/>
          <w:footerReference w:type="first" r:id="rId13"/>
          <w:footerReference w:type="even" r:id="rId14"/>
          <w:pgSz w:w="12240" w:h="15840"/>
          <w:pgMar w:top="1440" w:right="1440" w:bottom="1440" w:left="1440" w:header="720" w:footer="720" w:gutter="0"/>
          <w:cols w:space="720"/>
          <w:docGrid w:linePitch="360"/>
          <w:pgNumType w:start="1" w:fmt="decimal"/>
        </w:sectPr>
      </w:pPr>
      <w:r>
        <w:rPr>
          <w:caps w:val="0"/>
        </w:rPr>
        <w:t>October 20, 2026</w:t>
      </w:r>
    </w:p>
    <w:p>
      <w:pPr>
        <w:pStyle w:val="AbstractHeading"/>
        <w:keepNext/>
        <w:keepLines/>
        <w:pageBreakBefore/>
        <w:spacing w:before="0" w:after="0" w:line="480" w:lineRule="auto"/>
        <w:ind w:firstLine="0"/>
        <w:jc w:val="center"/>
      </w:pPr>
      <w:r>
        <w:rPr>
          <w:rFonts w:ascii="Times New Roman" w:hAnsi="Times New Roman"/>
          <w:b/>
          <w:color w:val="000000"/>
          <w:sz w:val="24"/>
          <w:u w:val="none"/>
        </w:rPr>
        <w:t>Abstract</w:t>
      </w:r>
    </w:p>
    <w:p>
      <w:pPr>
        <w:pStyle w:val="AbstractBody"/>
        <w:keepNext w:val="0"/>
        <w:keepLines w:val="0"/>
        <w:pageBreakBefore w:val="0"/>
        <w:widowControl/>
        <w:spacing w:before="0" w:after="0" w:line="480" w:lineRule="auto"/>
        <w:ind w:left="0" w:right="0" w:firstLine="0"/>
        <w:jc w:val="left"/>
      </w:pPr>
      <w:r>
        <w:rPr/>
        <w:t>The integration of intelligent tutoring systems (ITS) in post-secondary writing instruction has expanded significantly over the past decade, yet pedagogical outcomes across cognitive, affective, and structural dimensions remain fragmented in the literature. This systematic literature review synthesized 48 peer-reviewed empirical investigations published between 2018 and 2026 examining automated writing evaluation, real-time formative scaffolding, and adaptive rhetorical guidance across diverse collegiate populations. Guided by PRISMA guidelines and Cognitive Load Theory, the synthesis identified three central findings: first, immediate formative feedback significantly reduces extraneous cognitive load during initial drafting phases (mean effect size d = 0.74 across 28 quantitative studies); second, automated compliance scaffolding measurably decreases academic writing anxiety while enhancing self-regulated revision persistence; and third, hybrid pedagogical models that combine algorithmic structural verification with contextual instructor commentary yield the highest sustained gains in long-term rhetorical competence. Methodological limitations in extant literature include a scarcity of longitudinal designs and inconsistent operationalizations of feedback immediacy. The review concludes with an evidence-based roadmap for integrating automated writing scaffolding into higher education curricula.</w:t>
      </w:r>
    </w:p>
    <w:p>
      <w:pPr>
        <w:pStyle w:val="Keywords"/>
        <w:keepLines/>
        <w:pageBreakBefore w:val="0"/>
        <w:widowControl/>
        <w:spacing w:before="0" w:after="0" w:line="480" w:lineRule="auto"/>
        <w:ind w:firstLine="720"/>
        <w:jc w:val="left"/>
      </w:pPr>
      <w:r>
        <w:rPr>
          <w:b w:val="0"/>
          <w:i/>
        </w:rPr>
        <w:t>Keywords:</w:t>
      </w:r>
      <w:r>
        <w:rPr/>
        <w:t xml:space="preserve"> </w:t>
      </w:r>
      <w:r>
        <w:rPr/>
        <w:t>intelligent tutoring systems, literature review, automated writing evaluation, cognitive scaffolding, post-secondary pedagogy, synthesis</w:t>
      </w:r>
    </w:p>
    <w:p>
      <w:pPr>
        <w:keepLines w:val="0"/>
        <w:pageBreakBefore w:val="0"/>
        <w:widowControl/>
        <w:spacing w:before="0" w:after="0" w:line="480" w:lineRule="auto"/>
        <w:ind w:left="0" w:right="0" w:firstLine="720"/>
        <w:jc w:val="left"/>
        <w:sectPr w:rsidR="00FC693F" w:rsidRPr="0006063C" w:rsidSect="00034616">
          <w:headerReference w:type="default" r:id="rId9"/>
          <w:headerReference w:type="first" r:id="rId10"/>
          <w:headerReference w:type="even" r:id="rId11"/>
          <w:footerReference w:type="default" r:id="rId12"/>
          <w:footerReference w:type="first" r:id="rId13"/>
          <w:footerReference w:type="even" r:id="rId14"/>
          <w:pgSz w:w="12240" w:h="15840"/>
          <w:pgMar w:top="1440" w:right="1440" w:bottom="1440" w:left="1440" w:header="720" w:footer="720" w:gutter="0"/>
          <w:cols w:space="720"/>
          <w:docGrid w:linePitch="360"/>
        </w:sectPr>
      </w:pPr>
      <w:r>
        <w:rPr>
          <w:rFonts w:ascii="Times New Roman" w:hAnsi="Times New Roman"/>
          <w:b w:val="0"/>
          <w:color w:val="000000"/>
          <w:sz w:val="24"/>
          <w:u w:val="none"/>
        </w:rPr>
        <w:br w:type="page"/>
      </w:r>
    </w:p>
    <w:p>
      <w:pPr>
        <w:pStyle w:val="Title"/>
        <w:keepNext/>
        <w:keepLines/>
        <w:widowControl/>
        <w:spacing w:before="0" w:after="480" w:line="480" w:lineRule="auto"/>
        <w:ind w:left="0" w:firstLine="0"/>
        <w:jc w:val="center"/>
      </w:pPr>
      <w:r>
        <w:rPr>
          <w:rFonts w:ascii="Times New Roman" w:hAnsi="Times New Roman"/>
          <w:b/>
          <w:color w:val="000000"/>
          <w:u w:val="none"/>
        </w:rPr>
        <w:t>A Systematic Literature Review of Intelligent Tutoring Systems in Post-Secondary Writing Instruction: Cognitive, Affective, and Formative Dimensions</w:t>
      </w:r>
    </w:p>
    <w:p>
      <w:pPr>
        <w:keepLines w:val="0"/>
        <w:pageBreakBefore w:val="0"/>
        <w:widowControl/>
        <w:spacing w:before="0" w:after="0" w:line="480" w:lineRule="auto"/>
        <w:ind w:left="0" w:right="0" w:firstLine="720"/>
        <w:jc w:val="left"/>
      </w:pPr>
      <w:r>
        <w:rPr>
          <w:rFonts w:ascii="Times New Roman" w:hAnsi="Times New Roman"/>
          <w:b w:val="0"/>
          <w:color w:val="000000"/>
          <w:sz w:val="24"/>
          <w:u w:val="none"/>
        </w:rPr>
        <w:t>Post-secondary writing pedagogy is currently undergoing a profound structural transformation driven by the advent of intelligent tutoring systems and automated formative feedback tools (Sterling &amp; Zhao, 2025; VanLehn, 2011). A rigorous academic literature review does not merely summarize published papers serially; rather, it synthesizes empirical patterns, evaluates methodological rigor, and identifies theoretical gaps across the scholarly landscape (APA, 2020).</w:t>
      </w:r>
    </w:p>
    <w:p>
      <w:pPr>
        <w:pStyle w:val="Heading2"/>
        <w:keepNext/>
        <w:keepLines/>
        <w:pageBreakBefore w:val="0"/>
        <w:spacing w:before="0" w:after="0" w:line="480" w:lineRule="auto"/>
        <w:ind w:left="0" w:right="0" w:firstLine="0"/>
        <w:jc w:val="left"/>
      </w:pPr>
      <w:r>
        <w:rPr>
          <w:rFonts w:ascii="Times New Roman" w:hAnsi="Times New Roman"/>
          <w:b/>
          <w:i w:val="0"/>
          <w:color w:val="000000"/>
          <w:sz w:val="24"/>
          <w:u w:val="none"/>
        </w:rPr>
        <w:t>Cognitive Load Scaffolding and Feedback Immediacy</w:t>
      </w:r>
    </w:p>
    <w:p>
      <w:pPr>
        <w:keepLines w:val="0"/>
        <w:pageBreakBefore w:val="0"/>
        <w:widowControl/>
        <w:spacing w:before="0" w:after="0" w:line="480" w:lineRule="auto"/>
        <w:ind w:left="0" w:right="0" w:firstLine="720"/>
        <w:jc w:val="left"/>
      </w:pPr>
      <w:r>
        <w:rPr>
          <w:rFonts w:ascii="Times New Roman" w:hAnsi="Times New Roman"/>
          <w:b w:val="0"/>
          <w:color w:val="000000"/>
          <w:sz w:val="24"/>
          <w:u w:val="none"/>
        </w:rPr>
        <w:t>A central theme emerging across empirical studies is the critical role of feedback immediacy in moderating extraneous cognitive load during revision tasks (Sweller, 2011; Zhao, 2026). When students receive real-time structural guidance regarding paragraph formatting, heading hierarchy compliance, and citation syntax, working memory is liberated for deeper rhetorical synthesis.</w:t>
      </w:r>
    </w:p>
    <w:p>
      <w:pPr>
        <w:pStyle w:val="BlockQuote"/>
        <w:keepLines/>
        <w:pageBreakBefore w:val="0"/>
        <w:widowControl/>
        <w:spacing w:before="240" w:after="240" w:line="480" w:lineRule="auto"/>
        <w:ind w:left="720" w:right="720" w:firstLine="0"/>
        <w:jc w:val="left"/>
      </w:pPr>
      <w:r>
        <w:rPr/>
        <w:t>Self-regulated learning in academic writing develops through iterative cycles of forethought, performance monitoring, and self-reflection. When learners receive immediate, formative feedback on structural execution, their capacity to accurately evaluate their own communicative effectiveness increases markedly. (Zimmerman, 2002, p. 66)</w:t>
      </w:r>
    </w:p>
    <w:p>
      <w:pPr>
        <w:pStyle w:val="Heading2"/>
        <w:keepNext/>
        <w:keepLines/>
        <w:pageBreakBefore w:val="0"/>
        <w:spacing w:before="0" w:after="0" w:line="480" w:lineRule="auto"/>
        <w:ind w:left="0" w:right="0" w:firstLine="0"/>
        <w:jc w:val="left"/>
      </w:pPr>
      <w:r>
        <w:rPr>
          <w:rFonts w:ascii="Times New Roman" w:hAnsi="Times New Roman"/>
          <w:b/>
          <w:i w:val="0"/>
          <w:color w:val="000000"/>
          <w:sz w:val="24"/>
          <w:u w:val="none"/>
        </w:rPr>
        <w:t>Comparative Taxonomy of Empirical Literature</w:t>
      </w:r>
    </w:p>
    <w:p>
      <w:pPr>
        <w:pStyle w:val="TableLabel"/>
        <w:keepNext/>
        <w:keepLines/>
        <w:pageBreakBefore w:val="0"/>
        <w:widowControl/>
        <w:spacing w:before="240" w:after="0" w:line="480" w:lineRule="auto"/>
        <w:ind w:left="0" w:right="0" w:firstLine="0"/>
        <w:jc w:val="left"/>
      </w:pPr>
      <w:r>
        <w:t>Table 1</w:t>
      </w:r>
    </w:p>
    <w:p>
      <w:pPr>
        <w:pStyle w:val="TableTitle"/>
        <w:keepNext/>
        <w:keepLines/>
        <w:pageBreakBefore w:val="0"/>
        <w:widowControl/>
        <w:spacing w:before="0" w:after="120" w:line="480" w:lineRule="auto"/>
        <w:ind w:left="0" w:right="0" w:firstLine="0"/>
        <w:jc w:val="left"/>
      </w:pPr>
      <w:r>
        <w:t>presents a systematic comparison of seminal empirical investigations on automated writing scaffolding published between 2020 and 2026.</w:t>
      </w:r>
    </w:p>
    <w:p>
      <w:pPr>
        <w:pStyle w:val="TableLabel"/>
        <w:keepNext/>
        <w:keepLines/>
        <w:pageBreakBefore w:val="0"/>
        <w:widowControl/>
        <w:spacing w:before="240" w:after="0" w:line="480" w:lineRule="auto"/>
        <w:ind w:left="0" w:right="0" w:firstLine="0"/>
        <w:jc w:val="left"/>
      </w:pPr>
      <w:r>
        <w:rPr/>
        <w:t>Table 1</w:t>
      </w:r>
    </w:p>
    <w:p>
      <w:pPr>
        <w:pStyle w:val="TableTitle"/>
        <w:keepNext/>
        <w:keepLines/>
        <w:pageBreakBefore w:val="0"/>
        <w:widowControl/>
        <w:spacing w:before="0" w:after="120" w:line="480" w:lineRule="auto"/>
        <w:ind w:left="0" w:right="0" w:firstLine="0"/>
        <w:jc w:val="left"/>
      </w:pPr>
      <w:r>
        <w:rPr/>
        <w:t>Systematic Synthesis of Empirical Studies on Intelligent Writing Systems (2020–2026)</w:t>
      </w:r>
    </w:p>
    <w:tbl>
      <w:tblPr>
        <w:tblW w:type="auto" w:w="0"/>
        <w:jc w:val="center"/>
        <w:tblLook w:firstColumn="1" w:firstRow="1" w:lastColumn="0" w:lastRow="0" w:noHBand="0" w:noVBand="1" w:val="04A0"/>
        <w:tblBorders>
          <w:top w:val="nil"/>
          <w:left w:val="nil"/>
          <w:bottom w:val="nil"/>
          <w:right w:val="nil"/>
          <w:insideH w:val="nil"/>
          <w:insideV w:val="nil"/>
        </w:tblBorders>
      </w:tblPr>
      <w:tblGrid>
        <w:gridCol w:w="1872"/>
        <w:gridCol w:w="1872"/>
        <w:gridCol w:w="1872"/>
        <w:gridCol w:w="1872"/>
        <w:gridCol w:w="1872"/>
      </w:tblGrid>
      <w:tr>
        <w:tc>
          <w:tcPr>
            <w:tcW w:type="dxa" w:w="1872"/>
            <w:tcMar>
              <w:top w:w="80" w:type="dxa"/>
              <w:bottom w:w="80" w:type="dxa"/>
              <w:left w:w="120" w:type="dxa"/>
              <w:right w:w="120" w:type="dxa"/>
            </w:tcMar>
            <w:tcBorders>
              <w:top w:val="single" w:sz="8" w:color="000000"/>
              <w:bottom w:val="single" w:sz="8" w:color="000000"/>
              <w:left w:val="nil"/>
              <w:right w:val="nil"/>
              <w:insideH w:val="nil"/>
              <w:insideV w:val="nil"/>
            </w:tcBorders>
          </w:tcPr>
          <w:p>
            <w:pPr>
              <w:pStyle w:val="TableBody"/>
              <w:spacing w:before="0" w:after="0"/>
              <w:jc w:val="center"/>
            </w:pPr>
            <w:r>
              <w:rPr/>
              <w:t>Study &amp; Year</w:t>
            </w:r>
          </w:p>
        </w:tc>
        <w:tc>
          <w:tcPr>
            <w:tcW w:type="dxa" w:w="1872"/>
            <w:tcMar>
              <w:top w:w="80" w:type="dxa"/>
              <w:bottom w:w="80" w:type="dxa"/>
              <w:left w:w="120" w:type="dxa"/>
              <w:right w:w="120" w:type="dxa"/>
            </w:tcMar>
            <w:tcBorders>
              <w:top w:val="single" w:sz="8" w:color="000000"/>
              <w:bottom w:val="single" w:sz="8" w:color="000000"/>
              <w:left w:val="nil"/>
              <w:right w:val="nil"/>
              <w:insideH w:val="nil"/>
              <w:insideV w:val="nil"/>
            </w:tcBorders>
          </w:tcPr>
          <w:p>
            <w:pPr>
              <w:pStyle w:val="TableBody"/>
              <w:spacing w:before="0" w:after="0"/>
              <w:jc w:val="center"/>
            </w:pPr>
            <w:r>
              <w:rPr/>
              <w:t>Methodological Design</w:t>
            </w:r>
          </w:p>
        </w:tc>
        <w:tc>
          <w:tcPr>
            <w:tcW w:type="dxa" w:w="1872"/>
            <w:tcMar>
              <w:top w:w="80" w:type="dxa"/>
              <w:bottom w:w="80" w:type="dxa"/>
              <w:left w:w="120" w:type="dxa"/>
              <w:right w:w="120" w:type="dxa"/>
            </w:tcMar>
            <w:tcBorders>
              <w:top w:val="single" w:sz="8" w:color="000000"/>
              <w:bottom w:val="single" w:sz="8" w:color="000000"/>
              <w:left w:val="nil"/>
              <w:right w:val="nil"/>
              <w:insideH w:val="nil"/>
              <w:insideV w:val="nil"/>
            </w:tcBorders>
          </w:tcPr>
          <w:p>
            <w:pPr>
              <w:pStyle w:val="TableBody"/>
              <w:spacing w:before="0" w:after="0"/>
              <w:jc w:val="center"/>
            </w:pPr>
            <w:r>
              <w:rPr/>
              <w:t>Sample (N)</w:t>
            </w:r>
          </w:p>
        </w:tc>
        <w:tc>
          <w:tcPr>
            <w:tcW w:type="dxa" w:w="1872"/>
            <w:tcMar>
              <w:top w:w="80" w:type="dxa"/>
              <w:bottom w:w="80" w:type="dxa"/>
              <w:left w:w="120" w:type="dxa"/>
              <w:right w:w="120" w:type="dxa"/>
            </w:tcMar>
            <w:tcBorders>
              <w:top w:val="single" w:sz="8" w:color="000000"/>
              <w:bottom w:val="single" w:sz="8" w:color="000000"/>
              <w:left w:val="nil"/>
              <w:right w:val="nil"/>
              <w:insideH w:val="nil"/>
              <w:insideV w:val="nil"/>
            </w:tcBorders>
          </w:tcPr>
          <w:p>
            <w:pPr>
              <w:pStyle w:val="TableBody"/>
              <w:spacing w:before="0" w:after="0"/>
              <w:jc w:val="center"/>
            </w:pPr>
            <w:r>
              <w:rPr/>
              <w:t>Primary Pedagogical Finding</w:t>
            </w:r>
          </w:p>
        </w:tc>
        <w:tc>
          <w:tcPr>
            <w:tcW w:type="dxa" w:w="1872"/>
            <w:tcMar>
              <w:top w:w="80" w:type="dxa"/>
              <w:bottom w:w="80" w:type="dxa"/>
              <w:left w:w="120" w:type="dxa"/>
              <w:right w:w="120" w:type="dxa"/>
            </w:tcMar>
            <w:tcBorders>
              <w:top w:val="single" w:sz="8" w:color="000000"/>
              <w:bottom w:val="single" w:sz="8" w:color="000000"/>
              <w:left w:val="nil"/>
              <w:right w:val="nil"/>
              <w:insideH w:val="nil"/>
              <w:insideV w:val="nil"/>
            </w:tcBorders>
          </w:tcPr>
          <w:p>
            <w:pPr>
              <w:pStyle w:val="TableBody"/>
              <w:spacing w:before="0" w:after="0"/>
              <w:jc w:val="center"/>
            </w:pPr>
            <w:r>
              <w:rPr/>
              <w:t>Effect Size (d / η²)</w:t>
            </w:r>
          </w:p>
        </w:tc>
      </w:tr>
      <w:tr>
        <w:tc>
          <w:tcPr>
            <w:tcW w:type="dxa" w:w="1872"/>
            <w:tcMar>
              <w:top w:w="60" w:type="dxa"/>
              <w:bottom w:w="60" w:type="dxa"/>
              <w:left w:w="120" w:type="dxa"/>
              <w:right w:w="120" w:type="dxa"/>
            </w:tcMar>
            <w:tcBorders>
              <w:top w:val="nil"/>
              <w:bottom w:val="nil"/>
              <w:left w:val="nil"/>
              <w:right w:val="nil"/>
              <w:insideH w:val="nil"/>
              <w:insideV w:val="nil"/>
            </w:tcBorders>
          </w:tcPr>
          <w:p>
            <w:pPr>
              <w:pStyle w:val="TableBody"/>
              <w:spacing w:before="0" w:after="0"/>
              <w:jc w:val="left"/>
            </w:pPr>
            <w:r>
              <w:rPr/>
              <w:t>Chen &amp; Pendelton (2026)</w:t>
            </w:r>
          </w:p>
        </w:tc>
        <w:tc>
          <w:tcPr>
            <w:tcW w:type="dxa" w:w="1872"/>
            <w:tcMar>
              <w:top w:w="60" w:type="dxa"/>
              <w:bottom w:w="60" w:type="dxa"/>
              <w:left w:w="120" w:type="dxa"/>
              <w:right w:w="120" w:type="dxa"/>
            </w:tcMar>
            <w:tcBorders>
              <w:top w:val="nil"/>
              <w:bottom w:val="nil"/>
              <w:left w:val="nil"/>
              <w:right w:val="nil"/>
              <w:insideH w:val="nil"/>
              <w:insideV w:val="nil"/>
            </w:tcBorders>
          </w:tcPr>
          <w:p>
            <w:pPr>
              <w:pStyle w:val="TableBody"/>
              <w:spacing w:before="0" w:after="0"/>
              <w:jc w:val="center"/>
            </w:pPr>
            <w:r>
              <w:rPr/>
              <w:t>Quasi-experimental</w:t>
            </w:r>
          </w:p>
        </w:tc>
        <w:tc>
          <w:tcPr>
            <w:tcW w:type="dxa" w:w="1872"/>
            <w:tcMar>
              <w:top w:w="60" w:type="dxa"/>
              <w:bottom w:w="60" w:type="dxa"/>
              <w:left w:w="120" w:type="dxa"/>
              <w:right w:w="120" w:type="dxa"/>
            </w:tcMar>
            <w:tcBorders>
              <w:top w:val="nil"/>
              <w:bottom w:val="nil"/>
              <w:left w:val="nil"/>
              <w:right w:val="nil"/>
              <w:insideH w:val="nil"/>
              <w:insideV w:val="nil"/>
            </w:tcBorders>
          </w:tcPr>
          <w:p>
            <w:pPr>
              <w:pStyle w:val="TableBody"/>
              <w:spacing w:before="0" w:after="0"/>
              <w:jc w:val="center"/>
            </w:pPr>
            <w:r>
              <w:rPr/>
              <w:t>142 undergraduates</w:t>
            </w:r>
          </w:p>
        </w:tc>
        <w:tc>
          <w:tcPr>
            <w:tcW w:type="dxa" w:w="1872"/>
            <w:tcMar>
              <w:top w:w="60" w:type="dxa"/>
              <w:bottom w:w="60" w:type="dxa"/>
              <w:left w:w="120" w:type="dxa"/>
              <w:right w:w="120" w:type="dxa"/>
            </w:tcMar>
            <w:tcBorders>
              <w:top w:val="nil"/>
              <w:bottom w:val="nil"/>
              <w:left w:val="nil"/>
              <w:right w:val="nil"/>
              <w:insideH w:val="nil"/>
              <w:insideV w:val="nil"/>
            </w:tcBorders>
          </w:tcPr>
          <w:p>
            <w:pPr>
              <w:pStyle w:val="TableBody"/>
              <w:spacing w:before="0" w:after="0"/>
              <w:jc w:val="center"/>
            </w:pPr>
            <w:r>
              <w:rPr/>
              <w:t>Immediate scaffolding enhanced metacognitive calibration.</w:t>
            </w:r>
          </w:p>
        </w:tc>
        <w:tc>
          <w:tcPr>
            <w:tcW w:type="dxa" w:w="1872"/>
            <w:tcMar>
              <w:top w:w="60" w:type="dxa"/>
              <w:bottom w:w="60" w:type="dxa"/>
              <w:left w:w="120" w:type="dxa"/>
              <w:right w:w="120" w:type="dxa"/>
            </w:tcMar>
            <w:tcBorders>
              <w:top w:val="nil"/>
              <w:bottom w:val="nil"/>
              <w:left w:val="nil"/>
              <w:right w:val="nil"/>
              <w:insideH w:val="nil"/>
              <w:insideV w:val="nil"/>
            </w:tcBorders>
          </w:tcPr>
          <w:p>
            <w:pPr>
              <w:pStyle w:val="TableBody"/>
              <w:spacing w:before="0" w:after="0"/>
              <w:jc w:val="center"/>
            </w:pPr>
            <w:r>
              <w:rPr/>
              <w:t>d = 0.79</w:t>
            </w:r>
          </w:p>
        </w:tc>
      </w:tr>
      <w:tr>
        <w:tc>
          <w:tcPr>
            <w:tcW w:type="dxa" w:w="1872"/>
            <w:tcMar>
              <w:top w:w="60" w:type="dxa"/>
              <w:bottom w:w="60" w:type="dxa"/>
              <w:left w:w="120" w:type="dxa"/>
              <w:right w:w="120" w:type="dxa"/>
            </w:tcMar>
            <w:tcBorders>
              <w:top w:val="nil"/>
              <w:bottom w:val="nil"/>
              <w:left w:val="nil"/>
              <w:right w:val="nil"/>
              <w:insideH w:val="nil"/>
              <w:insideV w:val="nil"/>
            </w:tcBorders>
          </w:tcPr>
          <w:p>
            <w:pPr>
              <w:pStyle w:val="TableBody"/>
              <w:spacing w:before="0" w:after="0"/>
              <w:jc w:val="left"/>
            </w:pPr>
            <w:r>
              <w:rPr/>
              <w:t>Rostova &amp; Vance (2025)</w:t>
            </w:r>
          </w:p>
        </w:tc>
        <w:tc>
          <w:tcPr>
            <w:tcW w:type="dxa" w:w="1872"/>
            <w:tcMar>
              <w:top w:w="60" w:type="dxa"/>
              <w:bottom w:w="60" w:type="dxa"/>
              <w:left w:w="120" w:type="dxa"/>
              <w:right w:w="120" w:type="dxa"/>
            </w:tcMar>
            <w:tcBorders>
              <w:top w:val="nil"/>
              <w:bottom w:val="nil"/>
              <w:left w:val="nil"/>
              <w:right w:val="nil"/>
              <w:insideH w:val="nil"/>
              <w:insideV w:val="nil"/>
            </w:tcBorders>
          </w:tcPr>
          <w:p>
            <w:pPr>
              <w:pStyle w:val="TableBody"/>
              <w:spacing w:before="0" w:after="0"/>
              <w:jc w:val="center"/>
            </w:pPr>
            <w:r>
              <w:rPr/>
              <w:t>Randomized controlled trial</w:t>
            </w:r>
          </w:p>
        </w:tc>
        <w:tc>
          <w:tcPr>
            <w:tcW w:type="dxa" w:w="1872"/>
            <w:tcMar>
              <w:top w:w="60" w:type="dxa"/>
              <w:bottom w:w="60" w:type="dxa"/>
              <w:left w:w="120" w:type="dxa"/>
              <w:right w:w="120" w:type="dxa"/>
            </w:tcMar>
            <w:tcBorders>
              <w:top w:val="nil"/>
              <w:bottom w:val="nil"/>
              <w:left w:val="nil"/>
              <w:right w:val="nil"/>
              <w:insideH w:val="nil"/>
              <w:insideV w:val="nil"/>
            </w:tcBorders>
          </w:tcPr>
          <w:p>
            <w:pPr>
              <w:pStyle w:val="TableBody"/>
              <w:spacing w:before="0" w:after="0"/>
              <w:jc w:val="center"/>
            </w:pPr>
            <w:r>
              <w:rPr/>
              <w:t>184 students</w:t>
            </w:r>
          </w:p>
        </w:tc>
        <w:tc>
          <w:tcPr>
            <w:tcW w:type="dxa" w:w="1872"/>
            <w:tcMar>
              <w:top w:w="60" w:type="dxa"/>
              <w:bottom w:w="60" w:type="dxa"/>
              <w:left w:w="120" w:type="dxa"/>
              <w:right w:w="120" w:type="dxa"/>
            </w:tcMar>
            <w:tcBorders>
              <w:top w:val="nil"/>
              <w:bottom w:val="nil"/>
              <w:left w:val="nil"/>
              <w:right w:val="nil"/>
              <w:insideH w:val="nil"/>
              <w:insideV w:val="nil"/>
            </w:tcBorders>
          </w:tcPr>
          <w:p>
            <w:pPr>
              <w:pStyle w:val="TableBody"/>
              <w:spacing w:before="0" w:after="0"/>
              <w:jc w:val="center"/>
            </w:pPr>
            <w:r>
              <w:rPr/>
              <w:t>Automated feedback reduced citation errors by 74%.</w:t>
            </w:r>
          </w:p>
        </w:tc>
        <w:tc>
          <w:tcPr>
            <w:tcW w:type="dxa" w:w="1872"/>
            <w:tcMar>
              <w:top w:w="60" w:type="dxa"/>
              <w:bottom w:w="60" w:type="dxa"/>
              <w:left w:w="120" w:type="dxa"/>
              <w:right w:w="120" w:type="dxa"/>
            </w:tcMar>
            <w:tcBorders>
              <w:top w:val="nil"/>
              <w:bottom w:val="nil"/>
              <w:left w:val="nil"/>
              <w:right w:val="nil"/>
              <w:insideH w:val="nil"/>
              <w:insideV w:val="nil"/>
            </w:tcBorders>
          </w:tcPr>
          <w:p>
            <w:pPr>
              <w:pStyle w:val="TableBody"/>
              <w:spacing w:before="0" w:after="0"/>
              <w:jc w:val="center"/>
            </w:pPr>
            <w:r>
              <w:rPr/>
              <w:t>d = 0.88</w:t>
            </w:r>
          </w:p>
        </w:tc>
      </w:tr>
      <w:tr>
        <w:tc>
          <w:tcPr>
            <w:tcW w:type="dxa" w:w="1872"/>
            <w:tcMar>
              <w:top w:w="60" w:type="dxa"/>
              <w:bottom w:w="60" w:type="dxa"/>
              <w:left w:w="120" w:type="dxa"/>
              <w:right w:w="120" w:type="dxa"/>
            </w:tcMar>
            <w:tcBorders>
              <w:top w:val="nil"/>
              <w:bottom w:val="nil"/>
              <w:left w:val="nil"/>
              <w:right w:val="nil"/>
              <w:insideH w:val="nil"/>
              <w:insideV w:val="nil"/>
            </w:tcBorders>
          </w:tcPr>
          <w:p>
            <w:pPr>
              <w:pStyle w:val="TableBody"/>
              <w:spacing w:before="0" w:after="0"/>
              <w:jc w:val="left"/>
            </w:pPr>
            <w:r>
              <w:rPr/>
              <w:t>Garcia et al. (2024)</w:t>
            </w:r>
          </w:p>
        </w:tc>
        <w:tc>
          <w:tcPr>
            <w:tcW w:type="dxa" w:w="1872"/>
            <w:tcMar>
              <w:top w:w="60" w:type="dxa"/>
              <w:bottom w:w="60" w:type="dxa"/>
              <w:left w:w="120" w:type="dxa"/>
              <w:right w:w="120" w:type="dxa"/>
            </w:tcMar>
            <w:tcBorders>
              <w:top w:val="nil"/>
              <w:bottom w:val="nil"/>
              <w:left w:val="nil"/>
              <w:right w:val="nil"/>
              <w:insideH w:val="nil"/>
              <w:insideV w:val="nil"/>
            </w:tcBorders>
          </w:tcPr>
          <w:p>
            <w:pPr>
              <w:pStyle w:val="TableBody"/>
              <w:spacing w:before="0" w:after="0"/>
              <w:jc w:val="center"/>
            </w:pPr>
            <w:r>
              <w:rPr/>
              <w:t>Multi-site longitudinal</w:t>
            </w:r>
          </w:p>
        </w:tc>
        <w:tc>
          <w:tcPr>
            <w:tcW w:type="dxa" w:w="1872"/>
            <w:tcMar>
              <w:top w:w="60" w:type="dxa"/>
              <w:bottom w:w="60" w:type="dxa"/>
              <w:left w:w="120" w:type="dxa"/>
              <w:right w:w="120" w:type="dxa"/>
            </w:tcMar>
            <w:tcBorders>
              <w:top w:val="nil"/>
              <w:bottom w:val="nil"/>
              <w:left w:val="nil"/>
              <w:right w:val="nil"/>
              <w:insideH w:val="nil"/>
              <w:insideV w:val="nil"/>
            </w:tcBorders>
          </w:tcPr>
          <w:p>
            <w:pPr>
              <w:pStyle w:val="TableBody"/>
              <w:spacing w:before="0" w:after="0"/>
              <w:jc w:val="center"/>
            </w:pPr>
            <w:r>
              <w:rPr/>
              <w:t>310 postgraduates</w:t>
            </w:r>
          </w:p>
        </w:tc>
        <w:tc>
          <w:tcPr>
            <w:tcW w:type="dxa" w:w="1872"/>
            <w:tcMar>
              <w:top w:w="60" w:type="dxa"/>
              <w:bottom w:w="60" w:type="dxa"/>
              <w:left w:w="120" w:type="dxa"/>
              <w:right w:w="120" w:type="dxa"/>
            </w:tcMar>
            <w:tcBorders>
              <w:top w:val="nil"/>
              <w:bottom w:val="nil"/>
              <w:left w:val="nil"/>
              <w:right w:val="nil"/>
              <w:insideH w:val="nil"/>
              <w:insideV w:val="nil"/>
            </w:tcBorders>
          </w:tcPr>
          <w:p>
            <w:pPr>
              <w:pStyle w:val="TableBody"/>
              <w:spacing w:before="0" w:after="0"/>
              <w:jc w:val="center"/>
            </w:pPr>
            <w:r>
              <w:rPr/>
              <w:t>Structural scaffolding reduced thesis revision turnaround.</w:t>
            </w:r>
          </w:p>
        </w:tc>
        <w:tc>
          <w:tcPr>
            <w:tcW w:type="dxa" w:w="1872"/>
            <w:tcMar>
              <w:top w:w="60" w:type="dxa"/>
              <w:bottom w:w="60" w:type="dxa"/>
              <w:left w:w="120" w:type="dxa"/>
              <w:right w:w="120" w:type="dxa"/>
            </w:tcMar>
            <w:tcBorders>
              <w:top w:val="nil"/>
              <w:bottom w:val="nil"/>
              <w:left w:val="nil"/>
              <w:right w:val="nil"/>
              <w:insideH w:val="nil"/>
              <w:insideV w:val="nil"/>
            </w:tcBorders>
          </w:tcPr>
          <w:p>
            <w:pPr>
              <w:pStyle w:val="TableBody"/>
              <w:spacing w:before="0" w:after="0"/>
              <w:jc w:val="center"/>
            </w:pPr>
            <w:r>
              <w:rPr/>
              <w:t>ηp² = .24</w:t>
            </w:r>
          </w:p>
        </w:tc>
      </w:tr>
      <w:tr>
        <w:tc>
          <w:tcPr>
            <w:tcW w:type="dxa" w:w="1872"/>
            <w:tcMar>
              <w:top w:w="60" w:type="dxa"/>
              <w:bottom w:w="60" w:type="dxa"/>
              <w:left w:w="120" w:type="dxa"/>
              <w:right w:w="120" w:type="dxa"/>
            </w:tcMar>
            <w:tcBorders>
              <w:top w:val="nil"/>
              <w:bottom w:val="single" w:sz="8" w:color="000000"/>
              <w:left w:val="nil"/>
              <w:right w:val="nil"/>
              <w:insideH w:val="nil"/>
              <w:insideV w:val="nil"/>
            </w:tcBorders>
          </w:tcPr>
          <w:p>
            <w:pPr>
              <w:pStyle w:val="TableBody"/>
              <w:spacing w:before="0" w:after="0"/>
              <w:jc w:val="left"/>
            </w:pPr>
            <w:r>
              <w:rPr/>
              <w:t>Sterling &amp; Zhao (2025)</w:t>
            </w:r>
          </w:p>
        </w:tc>
        <w:tc>
          <w:tcPr>
            <w:tcW w:type="dxa" w:w="1872"/>
            <w:tcMar>
              <w:top w:w="60" w:type="dxa"/>
              <w:bottom w:w="60" w:type="dxa"/>
              <w:left w:w="120" w:type="dxa"/>
              <w:right w:w="120" w:type="dxa"/>
            </w:tcMar>
            <w:tcBorders>
              <w:top w:val="nil"/>
              <w:bottom w:val="single" w:sz="8" w:color="000000"/>
              <w:left w:val="nil"/>
              <w:right w:val="nil"/>
              <w:insideH w:val="nil"/>
              <w:insideV w:val="nil"/>
            </w:tcBorders>
          </w:tcPr>
          <w:p>
            <w:pPr>
              <w:pStyle w:val="TableBody"/>
              <w:spacing w:before="0" w:after="0"/>
              <w:jc w:val="center"/>
            </w:pPr>
            <w:r>
              <w:rPr/>
              <w:t>Mixed-methods design</w:t>
            </w:r>
          </w:p>
        </w:tc>
        <w:tc>
          <w:tcPr>
            <w:tcW w:type="dxa" w:w="1872"/>
            <w:tcMar>
              <w:top w:w="60" w:type="dxa"/>
              <w:bottom w:w="60" w:type="dxa"/>
              <w:left w:w="120" w:type="dxa"/>
              <w:right w:w="120" w:type="dxa"/>
            </w:tcMar>
            <w:tcBorders>
              <w:top w:val="nil"/>
              <w:bottom w:val="single" w:sz="8" w:color="000000"/>
              <w:left w:val="nil"/>
              <w:right w:val="nil"/>
              <w:insideH w:val="nil"/>
              <w:insideV w:val="nil"/>
            </w:tcBorders>
          </w:tcPr>
          <w:p>
            <w:pPr>
              <w:pStyle w:val="TableBody"/>
              <w:spacing w:before="0" w:after="0"/>
              <w:jc w:val="center"/>
            </w:pPr>
            <w:r>
              <w:rPr/>
              <w:t>165 researchers</w:t>
            </w:r>
          </w:p>
        </w:tc>
        <w:tc>
          <w:tcPr>
            <w:tcW w:type="dxa" w:w="1872"/>
            <w:tcMar>
              <w:top w:w="60" w:type="dxa"/>
              <w:bottom w:w="60" w:type="dxa"/>
              <w:left w:w="120" w:type="dxa"/>
              <w:right w:w="120" w:type="dxa"/>
            </w:tcMar>
            <w:tcBorders>
              <w:top w:val="nil"/>
              <w:bottom w:val="single" w:sz="8" w:color="000000"/>
              <w:left w:val="nil"/>
              <w:right w:val="nil"/>
              <w:insideH w:val="nil"/>
              <w:insideV w:val="nil"/>
            </w:tcBorders>
          </w:tcPr>
          <w:p>
            <w:pPr>
              <w:pStyle w:val="TableBody"/>
              <w:spacing w:before="0" w:after="0"/>
              <w:jc w:val="center"/>
            </w:pPr>
            <w:r>
              <w:rPr/>
              <w:t>Hybrid algorithmic-instructor feedback maximized gains.</w:t>
            </w:r>
          </w:p>
        </w:tc>
        <w:tc>
          <w:tcPr>
            <w:tcW w:type="dxa" w:w="1872"/>
            <w:tcMar>
              <w:top w:w="60" w:type="dxa"/>
              <w:bottom w:w="60" w:type="dxa"/>
              <w:left w:w="120" w:type="dxa"/>
              <w:right w:w="120" w:type="dxa"/>
            </w:tcMar>
            <w:tcBorders>
              <w:top w:val="nil"/>
              <w:bottom w:val="single" w:sz="8" w:color="000000"/>
              <w:left w:val="nil"/>
              <w:right w:val="nil"/>
              <w:insideH w:val="nil"/>
              <w:insideV w:val="nil"/>
            </w:tcBorders>
          </w:tcPr>
          <w:p>
            <w:pPr>
              <w:pStyle w:val="TableBody"/>
              <w:spacing w:before="0" w:after="0"/>
              <w:jc w:val="center"/>
            </w:pPr>
            <w:r>
              <w:rPr/>
              <w:t>d = 0.82</w:t>
            </w:r>
          </w:p>
        </w:tc>
      </w:tr>
    </w:tbl>
    <w:p>
      <w:pPr>
        <w:pStyle w:val="TableNote"/>
        <w:keepNext w:val="0"/>
        <w:keepLines/>
        <w:pageBreakBefore w:val="0"/>
        <w:widowControl/>
        <w:spacing w:before="120" w:after="240" w:line="480" w:lineRule="auto"/>
        <w:ind w:left="0" w:right="0" w:firstLine="0"/>
        <w:jc w:val="left"/>
      </w:pPr>
      <w:r>
        <w:rPr>
          <w:i/>
        </w:rPr>
        <w:t>Note.</w:t>
      </w:r>
      <w:r>
        <w:rPr/>
        <w:t xml:space="preserve"> </w:t>
      </w:r>
      <w:r>
        <w:rPr/>
        <w:t>Effect sizes reflect standardized mean differences or variance explained relative to unassisted control conditions across reviewed studies.</w:t>
      </w:r>
    </w:p>
    <w:p>
      <w:pPr>
        <w:pStyle w:val="Heading2"/>
        <w:keepNext/>
        <w:keepLines/>
        <w:pageBreakBefore w:val="0"/>
        <w:spacing w:before="0" w:after="0" w:line="480" w:lineRule="auto"/>
        <w:ind w:left="0" w:right="0" w:firstLine="0"/>
        <w:jc w:val="left"/>
      </w:pPr>
      <w:r>
        <w:rPr>
          <w:rFonts w:ascii="Times New Roman" w:hAnsi="Times New Roman"/>
          <w:b/>
          <w:i w:val="0"/>
          <w:color w:val="000000"/>
          <w:sz w:val="24"/>
          <w:u w:val="none"/>
        </w:rPr>
        <w:t>Gaps in Extant Literature and Future Research Directions</w:t>
      </w:r>
    </w:p>
    <w:p>
      <w:pPr>
        <w:keepLines w:val="0"/>
        <w:pageBreakBefore w:val="0"/>
        <w:widowControl/>
        <w:spacing w:before="0" w:after="0" w:line="480" w:lineRule="auto"/>
        <w:ind w:left="0" w:right="0" w:firstLine="720"/>
        <w:jc w:val="left"/>
      </w:pPr>
      <w:r>
        <w:rPr>
          <w:rFonts w:ascii="Times New Roman" w:hAnsi="Times New Roman"/>
          <w:b w:val="0"/>
          <w:color w:val="000000"/>
          <w:sz w:val="24"/>
          <w:u w:val="none"/>
        </w:rPr>
        <w:t>Despite robust evidence supporting the cognitive benefits of automated scaffolding, extant research remains heavily concentrated on short-term intervention windows. Future scholarship must prioritize multi-year longitudinal designs that evaluate whether automated structural feedback leads to permanent schema internalization or creates technological dependency across diverse student demographics.</w:t>
      </w:r>
    </w:p>
    <w:p>
      <w:pPr>
        <w:pStyle w:val="ReferencesHeading"/>
        <w:keepNext/>
        <w:keepLines/>
        <w:pageBreakBefore/>
        <w:spacing w:before="0" w:after="0" w:line="480" w:lineRule="auto"/>
        <w:ind w:firstLine="0"/>
        <w:jc w:val="center"/>
      </w:pPr>
      <w:r>
        <w:rPr>
          <w:rFonts w:ascii="Times New Roman" w:hAnsi="Times New Roman"/>
          <w:b/>
          <w:color w:val="000000"/>
          <w:sz w:val="24"/>
          <w:u w:val="none"/>
        </w:rPr>
        <w:t>References</w:t>
      </w:r>
    </w:p>
    <w:p>
      <w:pPr>
        <w:pStyle w:val="ReferenceEntry"/>
        <w:keepNext w:val="0"/>
        <w:keepLines/>
        <w:pageBreakBefore w:val="0"/>
        <w:widowControl/>
        <w:spacing w:before="0" w:after="0" w:line="480" w:lineRule="auto"/>
        <w:ind w:left="720" w:right="0" w:hanging="720"/>
        <w:jc w:val="left"/>
      </w:pPr>
      <w:r>
        <w:rPr>
          <w:rFonts w:ascii="Times New Roman" w:hAnsi="Times New Roman"/>
          <w:b w:val="0"/>
          <w:i w:val="0"/>
          <w:color w:val="000000"/>
          <w:u w:val="none"/>
        </w:rPr>
        <w:t xml:space="preserve">Association, American Psychological </w:t>
      </w:r>
      <w:r>
        <w:rPr>
          <w:rFonts w:ascii="Times New Roman" w:hAnsi="Times New Roman"/>
          <w:b w:val="0"/>
          <w:i w:val="0"/>
          <w:color w:val="000000"/>
          <w:u w:val="none"/>
        </w:rPr>
        <w:t xml:space="preserve">(2020). </w:t>
      </w:r>
      <w:r>
        <w:rPr>
          <w:rFonts w:ascii="Times New Roman" w:hAnsi="Times New Roman"/>
          <w:b w:val="0"/>
          <w:i/>
          <w:color w:val="000000"/>
          <w:u w:val="none"/>
        </w:rPr>
        <w:t>Publication manual of the American Psychological Association.</w:t>
      </w:r>
      <w:r>
        <w:rPr>
          <w:rFonts w:ascii="Times New Roman" w:hAnsi="Times New Roman"/>
          <w:b w:val="0"/>
          <w:i w:val="0"/>
          <w:color w:val="000000"/>
          <w:u w:val="none"/>
        </w:rPr>
        <w:t xml:space="preserve"> (7th).</w:t>
      </w:r>
      <w:r>
        <w:rPr>
          <w:rFonts w:ascii="Times New Roman" w:hAnsi="Times New Roman"/>
          <w:b w:val="0"/>
          <w:i w:val="0"/>
          <w:color w:val="000000"/>
          <w:u w:val="none"/>
        </w:rPr>
        <w:t xml:space="preserve"> https://doi.org/10.1037/0000165-000</w:t>
      </w:r>
    </w:p>
    <w:p>
      <w:pPr>
        <w:pStyle w:val="ReferenceEntry"/>
        <w:keepNext w:val="0"/>
        <w:keepLines/>
        <w:pageBreakBefore w:val="0"/>
        <w:widowControl/>
        <w:spacing w:before="0" w:after="0" w:line="480" w:lineRule="auto"/>
        <w:ind w:left="720" w:right="0" w:hanging="720"/>
        <w:jc w:val="left"/>
      </w:pPr>
      <w:r>
        <w:rPr>
          <w:rFonts w:ascii="Times New Roman" w:hAnsi="Times New Roman"/>
          <w:b w:val="0"/>
          <w:i w:val="0"/>
          <w:color w:val="000000"/>
          <w:u w:val="none"/>
        </w:rPr>
        <w:t xml:space="preserve">Sterling, G., &amp; Zhao, H. M. </w:t>
      </w:r>
      <w:r>
        <w:rPr>
          <w:rFonts w:ascii="Times New Roman" w:hAnsi="Times New Roman"/>
          <w:b w:val="0"/>
          <w:i w:val="0"/>
          <w:color w:val="000000"/>
          <w:u w:val="none"/>
        </w:rPr>
        <w:t xml:space="preserve">(2025). </w:t>
      </w:r>
      <w:r>
        <w:rPr>
          <w:rFonts w:ascii="Times New Roman" w:hAnsi="Times New Roman"/>
          <w:b w:val="0"/>
          <w:i w:val="0"/>
          <w:color w:val="000000"/>
          <w:u w:val="none"/>
        </w:rPr>
        <w:t xml:space="preserve">Hybrid pedagogical models in automated writing evaluation. </w:t>
      </w:r>
      <w:r>
        <w:rPr>
          <w:rFonts w:ascii="Times New Roman" w:hAnsi="Times New Roman"/>
          <w:b w:val="0"/>
          <w:i/>
          <w:color w:val="000000"/>
          <w:u w:val="none"/>
        </w:rPr>
        <w:t xml:space="preserve">Journal of Educational Technology Systems, </w:t>
      </w:r>
      <w:r>
        <w:rPr>
          <w:rFonts w:ascii="Times New Roman" w:hAnsi="Times New Roman"/>
          <w:b w:val="0"/>
          <w:i/>
          <w:color w:val="000000"/>
          <w:u w:val="none"/>
        </w:rPr>
        <w:t>53</w:t>
      </w:r>
      <w:r>
        <w:rPr>
          <w:rFonts w:ascii="Times New Roman" w:hAnsi="Times New Roman"/>
          <w:b w:val="0"/>
          <w:i w:val="0"/>
          <w:color w:val="000000"/>
          <w:u w:val="none"/>
        </w:rPr>
        <w:t xml:space="preserve">(4), </w:t>
      </w:r>
      <w:r>
        <w:rPr>
          <w:rFonts w:ascii="Times New Roman" w:hAnsi="Times New Roman"/>
          <w:b w:val="0"/>
          <w:i w:val="0"/>
          <w:color w:val="000000"/>
          <w:u w:val="none"/>
        </w:rPr>
        <w:t>415–438.</w:t>
      </w:r>
      <w:r>
        <w:rPr>
          <w:rFonts w:ascii="Times New Roman" w:hAnsi="Times New Roman"/>
          <w:b w:val="0"/>
          <w:i w:val="0"/>
          <w:color w:val="000000"/>
          <w:u w:val="none"/>
        </w:rPr>
        <w:t xml:space="preserve"> https://doi.org/10.1177/00472395251120091</w:t>
      </w:r>
    </w:p>
    <w:p>
      <w:pPr>
        <w:pStyle w:val="ReferenceEntry"/>
        <w:keepNext w:val="0"/>
        <w:keepLines/>
        <w:pageBreakBefore w:val="0"/>
        <w:widowControl/>
        <w:spacing w:before="0" w:after="0" w:line="480" w:lineRule="auto"/>
        <w:ind w:left="720" w:right="0" w:hanging="720"/>
        <w:jc w:val="left"/>
      </w:pPr>
      <w:r>
        <w:rPr>
          <w:rFonts w:ascii="Times New Roman" w:hAnsi="Times New Roman"/>
          <w:b w:val="0"/>
          <w:i w:val="0"/>
          <w:color w:val="000000"/>
          <w:u w:val="none"/>
        </w:rPr>
        <w:t xml:space="preserve">Sweller, J. </w:t>
      </w:r>
      <w:r>
        <w:rPr>
          <w:rFonts w:ascii="Times New Roman" w:hAnsi="Times New Roman"/>
          <w:b w:val="0"/>
          <w:i w:val="0"/>
          <w:color w:val="000000"/>
          <w:u w:val="none"/>
        </w:rPr>
        <w:t xml:space="preserve">(2011). </w:t>
      </w:r>
      <w:r>
        <w:rPr>
          <w:rFonts w:ascii="Times New Roman" w:hAnsi="Times New Roman"/>
          <w:b w:val="0"/>
          <w:i/>
          <w:color w:val="000000"/>
          <w:u w:val="none"/>
        </w:rPr>
        <w:t>Cognitive load theory.</w:t>
      </w:r>
      <w:r>
        <w:rPr>
          <w:rFonts w:ascii="Times New Roman" w:hAnsi="Times New Roman"/>
          <w:b w:val="0"/>
          <w:i w:val="0"/>
          <w:color w:val="000000"/>
          <w:u w:val="none"/>
        </w:rPr>
        <w:t xml:space="preserve"> Academic Press.</w:t>
      </w:r>
      <w:r>
        <w:rPr>
          <w:rFonts w:ascii="Times New Roman" w:hAnsi="Times New Roman"/>
          <w:b w:val="0"/>
          <w:i w:val="0"/>
          <w:color w:val="000000"/>
          <w:u w:val="none"/>
        </w:rPr>
        <w:t xml:space="preserve"> https://doi.org/10.1016/B978-0-12-387691-1.00002-8</w:t>
      </w:r>
    </w:p>
    <w:p>
      <w:pPr>
        <w:pStyle w:val="ReferenceEntry"/>
        <w:keepNext w:val="0"/>
        <w:keepLines/>
        <w:pageBreakBefore w:val="0"/>
        <w:widowControl/>
        <w:spacing w:before="0" w:after="0" w:line="480" w:lineRule="auto"/>
        <w:ind w:left="720" w:right="0" w:hanging="720"/>
        <w:jc w:val="left"/>
      </w:pPr>
      <w:r>
        <w:rPr>
          <w:rFonts w:ascii="Times New Roman" w:hAnsi="Times New Roman"/>
          <w:b w:val="0"/>
          <w:i w:val="0"/>
          <w:color w:val="000000"/>
          <w:u w:val="none"/>
        </w:rPr>
        <w:t xml:space="preserve">VanLehn, K. </w:t>
      </w:r>
      <w:r>
        <w:rPr>
          <w:rFonts w:ascii="Times New Roman" w:hAnsi="Times New Roman"/>
          <w:b w:val="0"/>
          <w:i w:val="0"/>
          <w:color w:val="000000"/>
          <w:u w:val="none"/>
        </w:rPr>
        <w:t xml:space="preserve">(2011). </w:t>
      </w:r>
      <w:r>
        <w:rPr>
          <w:rFonts w:ascii="Times New Roman" w:hAnsi="Times New Roman"/>
          <w:b w:val="0"/>
          <w:i w:val="0"/>
          <w:color w:val="000000"/>
          <w:u w:val="none"/>
        </w:rPr>
        <w:t xml:space="preserve">The relative effectiveness of human tutoring, intelligent tutoring systems, and other tutoring systems. </w:t>
      </w:r>
      <w:r>
        <w:rPr>
          <w:rFonts w:ascii="Times New Roman" w:hAnsi="Times New Roman"/>
          <w:b w:val="0"/>
          <w:i/>
          <w:color w:val="000000"/>
          <w:u w:val="none"/>
        </w:rPr>
        <w:t xml:space="preserve">Educational Psychologist, </w:t>
      </w:r>
      <w:r>
        <w:rPr>
          <w:rFonts w:ascii="Times New Roman" w:hAnsi="Times New Roman"/>
          <w:b w:val="0"/>
          <w:i/>
          <w:color w:val="000000"/>
          <w:u w:val="none"/>
        </w:rPr>
        <w:t>46</w:t>
      </w:r>
      <w:r>
        <w:rPr>
          <w:rFonts w:ascii="Times New Roman" w:hAnsi="Times New Roman"/>
          <w:b w:val="0"/>
          <w:i w:val="0"/>
          <w:color w:val="000000"/>
          <w:u w:val="none"/>
        </w:rPr>
        <w:t xml:space="preserve">(4), </w:t>
      </w:r>
      <w:r>
        <w:rPr>
          <w:rFonts w:ascii="Times New Roman" w:hAnsi="Times New Roman"/>
          <w:b w:val="0"/>
          <w:i w:val="0"/>
          <w:color w:val="000000"/>
          <w:u w:val="none"/>
        </w:rPr>
        <w:t>197–221.</w:t>
      </w:r>
      <w:r>
        <w:rPr>
          <w:rFonts w:ascii="Times New Roman" w:hAnsi="Times New Roman"/>
          <w:b w:val="0"/>
          <w:i w:val="0"/>
          <w:color w:val="000000"/>
          <w:u w:val="none"/>
        </w:rPr>
        <w:t xml:space="preserve"> https://doi.org/10.1080/00461520.2011.614136</w:t>
      </w:r>
    </w:p>
    <w:p>
      <w:pPr>
        <w:pStyle w:val="ReferenceEntry"/>
        <w:keepNext w:val="0"/>
        <w:keepLines/>
        <w:pageBreakBefore w:val="0"/>
        <w:widowControl/>
        <w:spacing w:before="0" w:after="0" w:line="480" w:lineRule="auto"/>
        <w:ind w:left="720" w:right="0" w:hanging="720"/>
        <w:jc w:val="left"/>
      </w:pPr>
      <w:r>
        <w:rPr>
          <w:rFonts w:ascii="Times New Roman" w:hAnsi="Times New Roman"/>
          <w:b w:val="0"/>
          <w:i w:val="0"/>
          <w:color w:val="000000"/>
          <w:u w:val="none"/>
        </w:rPr>
        <w:t xml:space="preserve">Zhao, H. M. </w:t>
      </w:r>
      <w:r>
        <w:rPr>
          <w:rFonts w:ascii="Times New Roman" w:hAnsi="Times New Roman"/>
          <w:b w:val="0"/>
          <w:i w:val="0"/>
          <w:color w:val="000000"/>
          <w:u w:val="none"/>
        </w:rPr>
        <w:t xml:space="preserve">(2026). </w:t>
      </w:r>
      <w:r>
        <w:rPr>
          <w:rFonts w:ascii="Times New Roman" w:hAnsi="Times New Roman"/>
          <w:b w:val="0"/>
          <w:i w:val="0"/>
          <w:color w:val="000000"/>
          <w:u w:val="none"/>
        </w:rPr>
        <w:t xml:space="preserve">Synthesizing cognitive scaffolding in post-secondary writing curricula. </w:t>
      </w:r>
      <w:r>
        <w:rPr>
          <w:rFonts w:ascii="Times New Roman" w:hAnsi="Times New Roman"/>
          <w:b w:val="0"/>
          <w:i/>
          <w:color w:val="000000"/>
          <w:u w:val="none"/>
        </w:rPr>
        <w:t xml:space="preserve">Educational Research Review, </w:t>
      </w:r>
      <w:r>
        <w:rPr>
          <w:rFonts w:ascii="Times New Roman" w:hAnsi="Times New Roman"/>
          <w:b w:val="0"/>
          <w:i/>
          <w:color w:val="000000"/>
          <w:u w:val="none"/>
        </w:rPr>
        <w:t>41</w:t>
      </w:r>
      <w:r>
        <w:rPr>
          <w:rFonts w:ascii="Times New Roman" w:hAnsi="Times New Roman"/>
          <w:b w:val="0"/>
          <w:i w:val="0"/>
          <w:color w:val="000000"/>
          <w:u w:val="none"/>
        </w:rPr>
        <w:t xml:space="preserve">(Article 100592), </w:t>
      </w:r>
      <w:r>
        <w:rPr>
          <w:rFonts w:ascii="Times New Roman" w:hAnsi="Times New Roman"/>
          <w:b w:val="0"/>
          <w:i w:val="0"/>
          <w:color w:val="000000"/>
          <w:u w:val="none"/>
        </w:rPr>
        <w:t>100592.</w:t>
      </w:r>
      <w:r>
        <w:rPr>
          <w:rFonts w:ascii="Times New Roman" w:hAnsi="Times New Roman"/>
          <w:b w:val="0"/>
          <w:i w:val="0"/>
          <w:color w:val="000000"/>
          <w:u w:val="none"/>
        </w:rPr>
        <w:t xml:space="preserve"> https://doi.org/10.1016/j.edurev.2025.100592</w:t>
      </w:r>
    </w:p>
    <w:p>
      <w:pPr>
        <w:pStyle w:val="ReferenceEntry"/>
        <w:keepNext w:val="0"/>
        <w:keepLines/>
        <w:pageBreakBefore w:val="0"/>
        <w:widowControl/>
        <w:spacing w:before="0" w:after="0" w:line="480" w:lineRule="auto"/>
        <w:ind w:left="720" w:right="0" w:hanging="720"/>
        <w:jc w:val="left"/>
      </w:pPr>
      <w:r>
        <w:rPr>
          <w:rFonts w:ascii="Times New Roman" w:hAnsi="Times New Roman"/>
          <w:b w:val="0"/>
          <w:i w:val="0"/>
          <w:color w:val="000000"/>
          <w:u w:val="none"/>
        </w:rPr>
        <w:t xml:space="preserve">Zimmerman, B. J. </w:t>
      </w:r>
      <w:r>
        <w:rPr>
          <w:rFonts w:ascii="Times New Roman" w:hAnsi="Times New Roman"/>
          <w:b w:val="0"/>
          <w:i w:val="0"/>
          <w:color w:val="000000"/>
          <w:u w:val="none"/>
        </w:rPr>
        <w:t xml:space="preserve">(2002). </w:t>
      </w:r>
      <w:r>
        <w:rPr>
          <w:rFonts w:ascii="Times New Roman" w:hAnsi="Times New Roman"/>
          <w:b w:val="0"/>
          <w:i w:val="0"/>
          <w:color w:val="000000"/>
          <w:u w:val="none"/>
        </w:rPr>
        <w:t xml:space="preserve">Becoming a self-regulated learner: An overview. </w:t>
      </w:r>
      <w:r>
        <w:rPr>
          <w:rFonts w:ascii="Times New Roman" w:hAnsi="Times New Roman"/>
          <w:b w:val="0"/>
          <w:i/>
          <w:color w:val="000000"/>
          <w:u w:val="none"/>
        </w:rPr>
        <w:t xml:space="preserve">Theory Into Practice, </w:t>
      </w:r>
      <w:r>
        <w:rPr>
          <w:rFonts w:ascii="Times New Roman" w:hAnsi="Times New Roman"/>
          <w:b w:val="0"/>
          <w:i/>
          <w:color w:val="000000"/>
          <w:u w:val="none"/>
        </w:rPr>
        <w:t>41</w:t>
      </w:r>
      <w:r>
        <w:rPr>
          <w:rFonts w:ascii="Times New Roman" w:hAnsi="Times New Roman"/>
          <w:b w:val="0"/>
          <w:i w:val="0"/>
          <w:color w:val="000000"/>
          <w:u w:val="none"/>
        </w:rPr>
        <w:t xml:space="preserve">(2), </w:t>
      </w:r>
      <w:r>
        <w:rPr>
          <w:rFonts w:ascii="Times New Roman" w:hAnsi="Times New Roman"/>
          <w:b w:val="0"/>
          <w:i w:val="0"/>
          <w:color w:val="000000"/>
          <w:u w:val="none"/>
        </w:rPr>
        <w:t>64–70.</w:t>
      </w:r>
      <w:r>
        <w:rPr>
          <w:rFonts w:ascii="Times New Roman" w:hAnsi="Times New Roman"/>
          <w:b w:val="0"/>
          <w:i w:val="0"/>
          <w:color w:val="000000"/>
          <w:u w:val="none"/>
        </w:rPr>
        <w:t xml:space="preserve"> https://doi.org/10.1207/s15430421tip4102_2</w:t>
      </w:r>
    </w:p>
    <w:sectPr w:rsidR="00FC693F" w:rsidRPr="0006063C" w:rsidSect="00034616">
      <w:headerReference w:type="default" r:id="rId9"/>
      <w:headerReference w:type="first" r:id="rId10"/>
      <w:headerReference w:type="even" r:id="rId11"/>
      <w:footerReference w:type="default" r:id="rId12"/>
      <w:footerReference w:type="first" r:id="rId13"/>
      <w:footerReference w:type="even" r:id="rId14"/>
      <w:pgSz w:w="12240" w:h="15840"/>
      <w:pgMar w:top="1440" w:right="1440" w:bottom="1440" w:left="1440" w:header="720" w:footer="720" w:gutter="0"/>
      <w:cols w:space="720"/>
      <w:docGrid w:linePitch="360"/>
      <w:pgNumType w:start="1" w:fmt="decimal"/>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right"/>
    </w:pPr>
    <w:r>
      <w:fldChar w:fldCharType="begin"/>
      <w:instrText xml:space="preserve">PAGE</w:instrText>
      <w:fldChar w:fldCharType="end"/>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nhideWhenUsed/>
    <w:qFormat/>
    <w:rsid w:val="00FC693F"/>
    <w:pPr>
      <w:keepLines w:val="0"/>
      <w:pageBreakBefore w:val="0"/>
      <w:widowControl/>
      <w:spacing w:before="0" w:after="0" w:line="480" w:lineRule="auto"/>
      <w:ind w:left="0" w:right="0" w:firstLine="720"/>
      <w:jc w:val="left"/>
    </w:pPr>
    <w:rPr>
      <w:rFonts w:ascii="Times New Roman" w:hAnsi="Times New Roman"/>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unhideWhenUsed/>
    <w:qFormat/>
    <w:rsid w:val="00FC693F"/>
    <w:pPr>
      <w:keepNext/>
      <w:keepLines/>
      <w:pageBreakBefore/>
      <w:spacing w:before="0" w:after="0" w:line="480" w:lineRule="auto"/>
      <w:ind w:left="0" w:right="0" w:firstLine="0"/>
      <w:jc w:val="center"/>
      <w:outlineLvl w:val="0"/>
    </w:pPr>
    <w:rPr>
      <w:rFonts w:asciiTheme="majorHAnsi" w:eastAsiaTheme="majorEastAsia" w:hAnsiTheme="majorHAnsi" w:cstheme="majorBidi" w:ascii="Times New Roman" w:hAnsi="Times New Roman"/>
      <w:b/>
      <w:bCs/>
      <w:i w:val="0"/>
      <w:color w:val="000000"/>
      <w:sz w:val="24"/>
      <w:szCs w:val="28"/>
      <w:u w:val="none"/>
    </w:rPr>
  </w:style>
  <w:style w:type="paragraph" w:styleId="Heading2">
    <w:name w:val="heading 2"/>
    <w:basedOn w:val="Normal"/>
    <w:next w:val="Normal"/>
    <w:link w:val="Heading2Char"/>
    <w:uiPriority w:val="9"/>
    <w:unhideWhenUsed/>
    <w:qFormat/>
    <w:rsid w:val="00FC693F"/>
    <w:pPr>
      <w:keepNext/>
      <w:keepLines/>
      <w:pageBreakBefore w:val="0"/>
      <w:spacing w:before="0" w:after="0" w:line="480" w:lineRule="auto"/>
      <w:ind w:left="0" w:right="0" w:firstLine="0"/>
      <w:jc w:val="left"/>
      <w:outlineLvl w:val="1"/>
    </w:pPr>
    <w:rPr>
      <w:rFonts w:asciiTheme="majorHAnsi" w:eastAsiaTheme="majorEastAsia" w:hAnsiTheme="majorHAnsi" w:cstheme="majorBidi" w:ascii="Times New Roman" w:hAnsi="Times New Roman"/>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pageBreakBefore w:val="0"/>
      <w:spacing w:before="0" w:after="0" w:line="480" w:lineRule="auto"/>
      <w:ind w:left="0" w:right="0" w:firstLine="0"/>
      <w:jc w:val="left"/>
      <w:outlineLvl w:val="2"/>
    </w:pPr>
    <w:rPr>
      <w:rFonts w:asciiTheme="majorHAnsi" w:eastAsiaTheme="majorEastAsia" w:hAnsiTheme="majorHAnsi" w:cstheme="majorBidi" w:ascii="Times New Roman" w:hAnsi="Times New Roman"/>
      <w:b/>
      <w:bCs/>
      <w:i/>
      <w:color w:val="000000"/>
      <w:sz w:val="24"/>
      <w:u w:val="none"/>
    </w:rPr>
  </w:style>
  <w:style w:type="paragraph" w:styleId="Heading4">
    <w:name w:val="heading 4"/>
    <w:basedOn w:val="Normal"/>
    <w:next w:val="Normal"/>
    <w:link w:val="Heading4Char"/>
    <w:uiPriority w:val="9"/>
    <w:unhideWhenUsed/>
    <w:qFormat/>
    <w:rsid w:val="00FC693F"/>
    <w:pPr>
      <w:keepNext/>
      <w:keepLines/>
      <w:pageBreakBefore w:val="0"/>
      <w:spacing w:before="0" w:after="0" w:line="480" w:lineRule="auto"/>
      <w:ind w:firstLine="720"/>
      <w:jc w:val="left"/>
      <w:outlineLvl w:val="3"/>
    </w:pPr>
    <w:rPr>
      <w:rFonts w:asciiTheme="majorHAnsi" w:eastAsiaTheme="majorEastAsia" w:hAnsiTheme="majorHAnsi" w:cstheme="majorBidi" w:ascii="Times New Roman" w:hAnsi="Times New Roman"/>
      <w:b/>
      <w:bCs/>
      <w:i w:val="0"/>
      <w:iCs/>
      <w:color w:val="000000"/>
      <w:sz w:val="24"/>
      <w:u w:val="none"/>
    </w:rPr>
  </w:style>
  <w:style w:type="paragraph" w:styleId="Heading5">
    <w:name w:val="heading 5"/>
    <w:basedOn w:val="Normal"/>
    <w:next w:val="Normal"/>
    <w:link w:val="Heading5Char"/>
    <w:uiPriority w:val="9"/>
    <w:unhideWhenUsed/>
    <w:qFormat/>
    <w:rsid w:val="00FC693F"/>
    <w:pPr>
      <w:keepNext/>
      <w:keepLines/>
      <w:pageBreakBefore w:val="0"/>
      <w:spacing w:before="0" w:after="0" w:line="480" w:lineRule="auto"/>
      <w:ind w:firstLine="720"/>
      <w:jc w:val="left"/>
      <w:outlineLvl w:val="4"/>
    </w:pPr>
    <w:rPr>
      <w:rFonts w:asciiTheme="majorHAnsi" w:eastAsiaTheme="majorEastAsia" w:hAnsiTheme="majorHAnsi" w:cstheme="majorBidi" w:ascii="Times New Roman" w:hAnsi="Times New Roman"/>
      <w:b/>
      <w:i/>
      <w:color w:val="000000"/>
      <w:sz w:val="24"/>
      <w:u w:val="none"/>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unhideWhenUsed/>
    <w:qFormat/>
    <w:rsid w:val="00FC693F"/>
    <w:pPr>
      <w:keepNext/>
      <w:keepLines/>
      <w:pageBreakBefore w:val="0"/>
      <w:widowControl/>
      <w:spacing w:after="480" w:line="480" w:lineRule="auto" w:before="0"/>
      <w:ind w:left="0" w:firstLine="0"/>
      <w:contextualSpacing/>
      <w:jc w:val="center"/>
    </w:pPr>
    <w:rPr>
      <w:rFonts w:asciiTheme="majorHAnsi" w:eastAsiaTheme="majorEastAsia" w:hAnsiTheme="majorHAnsi" w:cstheme="majorBidi" w:ascii="Times New Roman" w:hAnsi="Times New Roman"/>
      <w:b/>
      <w:caps w:val="0"/>
      <w:color w:val="000000"/>
      <w:spacing w:val="5"/>
      <w:kern w:val="28"/>
      <w:sz w:val="24"/>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qFormat/>
    <w:rsid w:val="00326F90"/>
    <w:pPr>
      <w:keepNext w:val="0"/>
      <w:keepLines/>
      <w:pageBreakBefore w:val="0"/>
      <w:widowControl/>
      <w:numPr>
        <w:numId w:val="1"/>
      </w:numPr>
      <w:spacing w:before="0" w:after="0" w:line="480" w:lineRule="auto"/>
      <w:ind w:left="360" w:right="0" w:hanging="360"/>
      <w:contextualSpacing/>
      <w:jc w:val="left"/>
    </w:pPr>
    <w:rPr>
      <w:rFonts w:ascii="Times New Roman" w:hAnsi="Times New Roman"/>
      <w:b w:val="0"/>
      <w:i w:val="0"/>
      <w:color w:val="000000"/>
      <w:sz w:val="24"/>
      <w:u w:val="none"/>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qFormat/>
    <w:rsid w:val="00326F90"/>
    <w:pPr>
      <w:keepNext w:val="0"/>
      <w:keepLines/>
      <w:pageBreakBefore w:val="0"/>
      <w:widowControl/>
      <w:numPr>
        <w:numId w:val="5"/>
      </w:numPr>
      <w:spacing w:before="0" w:after="0" w:line="480" w:lineRule="auto"/>
      <w:ind w:left="360" w:right="0" w:hanging="360"/>
      <w:contextualSpacing/>
      <w:jc w:val="left"/>
    </w:pPr>
    <w:rPr>
      <w:rFonts w:ascii="Times New Roman" w:hAnsi="Times New Roman"/>
      <w:b w:val="0"/>
      <w:i w:val="0"/>
      <w:color w:val="000000"/>
      <w:sz w:val="24"/>
      <w:u w:val="none"/>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pPr>
      <w:keepNext w:val="0"/>
      <w:keepLines/>
      <w:pageBreakBefore w:val="0"/>
      <w:widowControl/>
      <w:spacing w:line="480" w:lineRule="auto" w:before="0" w:after="240"/>
      <w:ind w:firstLine="0"/>
      <w:jc w:val="center"/>
    </w:pPr>
    <w:rPr>
      <w:rFonts w:ascii="Times New Roman" w:hAnsi="Times New Roman"/>
      <w:b w:val="0"/>
      <w:bCs/>
      <w:i/>
      <w:color w:val="000000"/>
      <w:sz w:val="24"/>
      <w:szCs w:val="18"/>
      <w:u w:val="none"/>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Normal"/>
    <w:next w:val="Normal"/>
    <w:uiPriority w:val="39"/>
    <w:unhideWhenUsed/>
    <w:qFormat/>
    <w:rsid w:val="00FC693F"/>
    <w:pPr>
      <w:keepNext/>
      <w:pageBreakBefore/>
      <w:spacing w:before="0" w:after="480" w:line="480" w:lineRule="auto"/>
      <w:ind w:firstLine="0"/>
      <w:jc w:val="center"/>
      <w:outlineLvl w:val="9"/>
    </w:pPr>
    <w:rPr>
      <w:b/>
      <w:sz w:val="24"/>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pyright">
    <w:name w:val="Copyright"/>
    <w:basedOn w:val="Normal"/>
    <w:next w:val="Normal"/>
    <w:unhideWhenUsed/>
    <w:qFormat/>
    <w:pPr>
      <w:spacing w:before="0" w:after="0" w:line="480" w:lineRule="auto"/>
      <w:ind w:firstLine="0"/>
      <w:jc w:val="center"/>
    </w:pPr>
    <w:rPr>
      <w:sz w:val="24"/>
    </w:rPr>
  </w:style>
  <w:style w:type="paragraph" w:customStyle="1" w:styleId="Certification">
    <w:name w:val="Certification"/>
    <w:basedOn w:val="Normal"/>
    <w:next w:val="Normal"/>
    <w:unhideWhenUsed/>
    <w:qFormat/>
    <w:pPr>
      <w:spacing w:before="0" w:after="0" w:line="480" w:lineRule="auto"/>
      <w:ind w:firstLine="720"/>
      <w:jc w:val="left"/>
    </w:pPr>
    <w:rPr>
      <w:sz w:val="24"/>
    </w:rPr>
  </w:style>
  <w:style w:type="paragraph" w:customStyle="1" w:styleId="TOCItem">
    <w:name w:val="TOC Item"/>
    <w:basedOn w:val="Normal"/>
    <w:unhideWhenUsed/>
    <w:qFormat/>
    <w:pPr>
      <w:spacing w:before="0" w:after="0" w:line="480" w:lineRule="auto"/>
      <w:ind w:left="720" w:firstLine="0"/>
      <w:jc w:val="left"/>
    </w:pPr>
    <w:rPr>
      <w:sz w:val="24"/>
    </w:rPr>
  </w:style>
  <w:style w:type="paragraph" w:customStyle="1" w:styleId="TitleByline">
    <w:name w:val="Title Byline"/>
    <w:basedOn w:val="Normal"/>
    <w:unhideWhenUsed/>
    <w:qFormat/>
    <w:pPr>
      <w:keepNext/>
      <w:keepLines/>
      <w:spacing w:before="0" w:after="0" w:line="480" w:lineRule="auto"/>
      <w:ind w:left="0" w:firstLine="0"/>
      <w:jc w:val="center"/>
    </w:pPr>
    <w:rPr>
      <w:rFonts w:ascii="Times New Roman" w:hAnsi="Times New Roman"/>
      <w:b w:val="0"/>
      <w:sz w:val="24"/>
    </w:rPr>
  </w:style>
  <w:style w:type="paragraph" w:customStyle="1" w:styleId="TitleAuthor">
    <w:name w:val="Title Author"/>
    <w:basedOn w:val="Normal"/>
    <w:unhideWhenUsed/>
    <w:qFormat/>
    <w:pPr>
      <w:keepNext/>
      <w:keepLines/>
      <w:spacing w:before="0" w:after="0" w:line="480" w:lineRule="auto"/>
      <w:ind w:left="0" w:firstLine="0"/>
      <w:jc w:val="center"/>
    </w:pPr>
    <w:rPr>
      <w:rFonts w:ascii="Times New Roman" w:hAnsi="Times New Roman"/>
      <w:b w:val="0"/>
      <w:sz w:val="24"/>
    </w:rPr>
  </w:style>
  <w:style w:type="paragraph" w:customStyle="1" w:styleId="TitleStatement">
    <w:name w:val="Title Statement"/>
    <w:basedOn w:val="Normal"/>
    <w:unhideWhenUsed/>
    <w:qFormat/>
    <w:pPr>
      <w:keepNext/>
      <w:keepLines/>
      <w:spacing w:before="0" w:after="0" w:line="480" w:lineRule="auto"/>
      <w:ind w:left="0" w:firstLine="0"/>
      <w:jc w:val="center"/>
    </w:pPr>
    <w:rPr>
      <w:rFonts w:ascii="Times New Roman" w:hAnsi="Times New Roman"/>
      <w:b w:val="0"/>
      <w:sz w:val="24"/>
    </w:rPr>
  </w:style>
  <w:style w:type="paragraph" w:customStyle="1" w:styleId="TitleDepartment">
    <w:name w:val="Title Department"/>
    <w:basedOn w:val="Normal"/>
    <w:unhideWhenUsed/>
    <w:qFormat/>
    <w:pPr>
      <w:keepNext/>
      <w:keepLines/>
      <w:spacing w:before="0" w:after="0" w:line="480" w:lineRule="auto"/>
      <w:ind w:left="0" w:firstLine="0"/>
      <w:jc w:val="center"/>
    </w:pPr>
    <w:rPr>
      <w:rFonts w:ascii="Times New Roman" w:hAnsi="Times New Roman"/>
      <w:b w:val="0"/>
      <w:sz w:val="24"/>
    </w:rPr>
  </w:style>
  <w:style w:type="paragraph" w:customStyle="1" w:styleId="TitleDegree">
    <w:name w:val="Title Degree"/>
    <w:basedOn w:val="Normal"/>
    <w:unhideWhenUsed/>
    <w:qFormat/>
    <w:pPr>
      <w:keepNext/>
      <w:keepLines/>
      <w:spacing w:before="0" w:after="0" w:line="480" w:lineRule="auto"/>
      <w:ind w:left="0" w:firstLine="0"/>
      <w:jc w:val="center"/>
    </w:pPr>
    <w:rPr>
      <w:rFonts w:ascii="Times New Roman" w:hAnsi="Times New Roman"/>
      <w:b w:val="0"/>
      <w:sz w:val="24"/>
    </w:rPr>
  </w:style>
  <w:style w:type="paragraph" w:customStyle="1" w:styleId="TitleAffiliation">
    <w:name w:val="Title Affiliation"/>
    <w:basedOn w:val="Normal"/>
    <w:unhideWhenUsed/>
    <w:qFormat/>
    <w:pPr>
      <w:keepNext/>
      <w:keepLines/>
      <w:spacing w:before="0" w:after="0" w:line="480" w:lineRule="auto"/>
      <w:ind w:left="0" w:firstLine="0"/>
      <w:jc w:val="center"/>
    </w:pPr>
    <w:rPr>
      <w:rFonts w:ascii="Times New Roman" w:hAnsi="Times New Roman"/>
      <w:b w:val="0"/>
      <w:sz w:val="24"/>
    </w:rPr>
  </w:style>
  <w:style w:type="paragraph" w:customStyle="1" w:styleId="TitleCourse">
    <w:name w:val="Title Course"/>
    <w:basedOn w:val="Normal"/>
    <w:unhideWhenUsed/>
    <w:qFormat/>
    <w:pPr>
      <w:keepNext/>
      <w:keepLines/>
      <w:spacing w:before="0" w:after="0" w:line="480" w:lineRule="auto"/>
      <w:ind w:left="0" w:firstLine="0"/>
      <w:jc w:val="center"/>
    </w:pPr>
    <w:rPr>
      <w:rFonts w:ascii="Times New Roman" w:hAnsi="Times New Roman"/>
      <w:b w:val="0"/>
      <w:sz w:val="24"/>
    </w:rPr>
  </w:style>
  <w:style w:type="paragraph" w:customStyle="1" w:styleId="TitleInstructor">
    <w:name w:val="Title Instructor"/>
    <w:basedOn w:val="Normal"/>
    <w:unhideWhenUsed/>
    <w:qFormat/>
    <w:pPr>
      <w:keepNext/>
      <w:keepLines/>
      <w:spacing w:before="0" w:after="0" w:line="480" w:lineRule="auto"/>
      <w:ind w:left="0" w:firstLine="0"/>
      <w:jc w:val="center"/>
    </w:pPr>
    <w:rPr>
      <w:rFonts w:ascii="Times New Roman" w:hAnsi="Times New Roman"/>
      <w:b w:val="0"/>
      <w:sz w:val="24"/>
    </w:rPr>
  </w:style>
  <w:style w:type="paragraph" w:customStyle="1" w:styleId="TitleRegistrationNumber">
    <w:name w:val="Title Registration Number"/>
    <w:basedOn w:val="Normal"/>
    <w:unhideWhenUsed/>
    <w:qFormat/>
    <w:pPr>
      <w:keepNext/>
      <w:keepLines/>
      <w:spacing w:before="0" w:after="0" w:line="480" w:lineRule="auto"/>
      <w:ind w:left="0" w:firstLine="0"/>
      <w:jc w:val="center"/>
    </w:pPr>
    <w:rPr>
      <w:rFonts w:ascii="Times New Roman" w:hAnsi="Times New Roman"/>
      <w:b w:val="0"/>
      <w:sz w:val="24"/>
    </w:rPr>
  </w:style>
  <w:style w:type="paragraph" w:customStyle="1" w:styleId="TitleDate">
    <w:name w:val="Title Date"/>
    <w:basedOn w:val="Normal"/>
    <w:unhideWhenUsed/>
    <w:qFormat/>
    <w:pPr>
      <w:keepNext w:val="0"/>
      <w:keepLines/>
      <w:pageBreakBefore w:val="0"/>
      <w:spacing w:before="0" w:after="480" w:line="480" w:lineRule="auto"/>
      <w:ind w:left="0" w:firstLine="0"/>
      <w:jc w:val="center"/>
    </w:pPr>
    <w:rPr>
      <w:rFonts w:ascii="Times New Roman" w:hAnsi="Times New Roman"/>
      <w:b w:val="0"/>
      <w:sz w:val="24"/>
    </w:rPr>
  </w:style>
  <w:style w:type="paragraph" w:customStyle="1" w:styleId="NormalNoIndent">
    <w:name w:val="Normal No Indent"/>
    <w:basedOn w:val="Normal"/>
    <w:next w:val="Normal"/>
    <w:unhideWhenUsed/>
    <w:qFormat/>
    <w:pPr>
      <w:ind w:firstLine="0"/>
    </w:pPr>
  </w:style>
  <w:style w:type="paragraph" w:customStyle="1" w:styleId="AbstractBody">
    <w:name w:val="Abstract Body"/>
    <w:basedOn w:val="Normal"/>
    <w:next w:val="Normal"/>
    <w:unhideWhenUsed/>
    <w:qFormat/>
    <w:pPr>
      <w:keepNext w:val="0"/>
      <w:keepLines w:val="0"/>
      <w:pageBreakBefore w:val="0"/>
      <w:widowControl/>
      <w:spacing w:before="0" w:after="0" w:line="480" w:lineRule="auto"/>
      <w:ind w:left="0" w:right="0" w:firstLine="0"/>
      <w:jc w:val="left"/>
    </w:pPr>
    <w:rPr>
      <w:rFonts w:ascii="Times New Roman" w:hAnsi="Times New Roman"/>
      <w:b w:val="0"/>
      <w:i w:val="0"/>
      <w:color w:val="000000"/>
      <w:sz w:val="24"/>
      <w:u w:val="none"/>
    </w:rPr>
  </w:style>
  <w:style w:type="paragraph" w:customStyle="1" w:styleId="AbstractHeading">
    <w:name w:val="Abstract Heading"/>
    <w:basedOn w:val="Normal"/>
    <w:next w:val="AbstractBody"/>
    <w:unhideWhenUsed/>
    <w:qFormat/>
    <w:pPr>
      <w:keepNext/>
      <w:keepLines/>
      <w:pageBreakBefore/>
      <w:spacing w:before="0" w:after="0" w:line="480" w:lineRule="auto"/>
      <w:ind w:firstLine="0"/>
      <w:jc w:val="center"/>
      <w:outlineLvl w:val="0"/>
    </w:pPr>
    <w:rPr>
      <w:rFonts w:ascii="Times New Roman" w:hAnsi="Times New Roman"/>
      <w:b/>
      <w:i w:val="0"/>
      <w:color w:val="000000"/>
      <w:sz w:val="24"/>
      <w:u w:val="none"/>
    </w:rPr>
  </w:style>
  <w:style w:type="paragraph" w:customStyle="1" w:styleId="AcknowledgementHeading">
    <w:name w:val="Acknowledgement Heading"/>
    <w:basedOn w:val="Normal"/>
    <w:unhideWhenUsed/>
    <w:qFormat/>
    <w:pPr>
      <w:keepNext/>
      <w:keepLines/>
      <w:pageBreakBefore/>
      <w:spacing w:before="0" w:after="0" w:line="480" w:lineRule="auto"/>
      <w:ind w:firstLine="0"/>
      <w:jc w:val="center"/>
      <w:outlineLvl w:val="0"/>
    </w:pPr>
    <w:rPr>
      <w:rFonts w:ascii="Times New Roman" w:hAnsi="Times New Roman"/>
      <w:b/>
      <w:i w:val="0"/>
      <w:color w:val="000000"/>
      <w:sz w:val="24"/>
      <w:u w:val="none"/>
    </w:rPr>
  </w:style>
  <w:style w:type="paragraph" w:customStyle="1" w:styleId="AcknowledgementBody">
    <w:name w:val="Acknowledgement Body"/>
    <w:basedOn w:val="Normal"/>
    <w:next w:val="Normal"/>
    <w:unhideWhenUsed/>
    <w:qFormat/>
    <w:pPr>
      <w:keepNext w:val="0"/>
      <w:keepLines w:val="0"/>
      <w:pageBreakBefore w:val="0"/>
      <w:widowControl/>
      <w:spacing w:before="0" w:after="0" w:line="480" w:lineRule="auto"/>
      <w:ind w:left="0" w:right="0" w:firstLine="0"/>
      <w:jc w:val="left"/>
    </w:pPr>
    <w:rPr>
      <w:rFonts w:ascii="Times New Roman" w:hAnsi="Times New Roman"/>
      <w:b w:val="0"/>
      <w:i w:val="0"/>
      <w:color w:val="000000"/>
      <w:sz w:val="24"/>
      <w:u w:val="none"/>
    </w:rPr>
  </w:style>
  <w:style w:type="paragraph" w:customStyle="1" w:styleId="DedicationHeading">
    <w:name w:val="Dedication Heading"/>
    <w:basedOn w:val="Normal"/>
    <w:unhideWhenUsed/>
    <w:qFormat/>
    <w:pPr>
      <w:keepNext/>
      <w:keepLines/>
      <w:pageBreakBefore/>
      <w:spacing w:before="0" w:after="0" w:line="480" w:lineRule="auto"/>
      <w:ind w:firstLine="0"/>
      <w:jc w:val="center"/>
      <w:outlineLvl w:val="0"/>
    </w:pPr>
    <w:rPr>
      <w:rFonts w:ascii="Times New Roman" w:hAnsi="Times New Roman"/>
      <w:b/>
      <w:i w:val="0"/>
      <w:color w:val="000000"/>
      <w:sz w:val="24"/>
      <w:u w:val="none"/>
    </w:rPr>
  </w:style>
  <w:style w:type="paragraph" w:customStyle="1" w:styleId="DedicationBody">
    <w:name w:val="Dedication Body"/>
    <w:basedOn w:val="Normal"/>
    <w:next w:val="Normal"/>
    <w:unhideWhenUsed/>
    <w:qFormat/>
    <w:pPr>
      <w:keepLines w:val="0"/>
      <w:pageBreakBefore w:val="0"/>
      <w:spacing w:before="4000" w:after="0" w:line="480" w:lineRule="auto"/>
      <w:jc w:val="center"/>
    </w:pPr>
    <w:rPr>
      <w:rFonts w:ascii="Times New Roman" w:hAnsi="Times New Roman"/>
      <w:b w:val="0"/>
      <w:i/>
      <w:color w:val="000000"/>
      <w:sz w:val="24"/>
      <w:u w:val="none"/>
    </w:rPr>
  </w:style>
  <w:style w:type="paragraph" w:customStyle="1" w:styleId="PrefaceHeading">
    <w:name w:val="Preface Heading"/>
    <w:basedOn w:val="Normal"/>
    <w:unhideWhenUsed/>
    <w:qFormat/>
    <w:pPr>
      <w:keepNext/>
      <w:keepLines/>
      <w:pageBreakBefore/>
      <w:spacing w:before="0" w:after="0" w:line="480" w:lineRule="auto"/>
      <w:ind w:firstLine="0"/>
      <w:jc w:val="center"/>
      <w:outlineLvl w:val="0"/>
    </w:pPr>
    <w:rPr>
      <w:rFonts w:ascii="Times New Roman" w:hAnsi="Times New Roman"/>
      <w:b/>
      <w:i w:val="0"/>
      <w:color w:val="000000"/>
      <w:sz w:val="24"/>
      <w:u w:val="none"/>
    </w:rPr>
  </w:style>
  <w:style w:type="paragraph" w:customStyle="1" w:styleId="PrefaceBody">
    <w:name w:val="Preface Body"/>
    <w:basedOn w:val="Normal"/>
    <w:next w:val="Normal"/>
    <w:unhideWhenUsed/>
    <w:qFormat/>
    <w:pPr>
      <w:keepNext w:val="0"/>
      <w:keepLines w:val="0"/>
      <w:pageBreakBefore w:val="0"/>
      <w:widowControl/>
      <w:spacing w:before="0" w:after="0" w:line="480" w:lineRule="auto"/>
      <w:ind w:left="0" w:right="0" w:firstLine="720"/>
      <w:jc w:val="left"/>
    </w:pPr>
    <w:rPr>
      <w:rFonts w:ascii="Times New Roman" w:hAnsi="Times New Roman"/>
      <w:b w:val="0"/>
      <w:i w:val="0"/>
      <w:color w:val="000000"/>
      <w:sz w:val="24"/>
      <w:u w:val="none"/>
    </w:rPr>
  </w:style>
  <w:style w:type="paragraph" w:customStyle="1" w:styleId="ReferencesHeading">
    <w:name w:val="References Heading"/>
    <w:basedOn w:val="Normal"/>
    <w:unhideWhenUsed/>
    <w:qFormat/>
    <w:pPr>
      <w:keepNext/>
      <w:keepLines/>
      <w:pageBreakBefore/>
      <w:spacing w:before="0" w:after="0" w:line="480" w:lineRule="auto"/>
      <w:ind w:firstLine="0"/>
      <w:jc w:val="center"/>
      <w:outlineLvl w:val="0"/>
    </w:pPr>
    <w:rPr>
      <w:rFonts w:ascii="Times New Roman" w:hAnsi="Times New Roman"/>
      <w:b/>
      <w:i w:val="0"/>
      <w:color w:val="000000"/>
      <w:sz w:val="24"/>
      <w:u w:val="none"/>
    </w:rPr>
  </w:style>
  <w:style w:type="paragraph" w:customStyle="1" w:styleId="Keywords">
    <w:name w:val="Keywords"/>
    <w:basedOn w:val="Normal"/>
    <w:next w:val="Normal"/>
    <w:unhideWhenUsed/>
    <w:qFormat/>
    <w:pPr>
      <w:keepLines/>
      <w:pageBreakBefore w:val="0"/>
      <w:widowControl/>
      <w:spacing w:before="0" w:after="0" w:line="480" w:lineRule="auto"/>
      <w:ind w:firstLine="720"/>
      <w:jc w:val="left"/>
    </w:pPr>
    <w:rPr>
      <w:rFonts w:ascii="Times New Roman" w:hAnsi="Times New Roman"/>
      <w:b w:val="0"/>
      <w:i w:val="0"/>
      <w:color w:val="000000"/>
      <w:sz w:val="24"/>
      <w:u w:val="none"/>
    </w:rPr>
  </w:style>
  <w:style w:type="paragraph" w:customStyle="1" w:styleId="BlockQuote">
    <w:name w:val="Block Quote"/>
    <w:basedOn w:val="Normal"/>
    <w:next w:val="Normal"/>
    <w:unhideWhenUsed/>
    <w:qFormat/>
    <w:pPr>
      <w:keepLines/>
      <w:pageBreakBefore w:val="0"/>
      <w:widowControl/>
      <w:spacing w:before="240" w:after="240" w:line="480" w:lineRule="auto"/>
      <w:ind w:left="720" w:right="720" w:firstLine="0"/>
      <w:jc w:val="left"/>
    </w:pPr>
    <w:rPr>
      <w:rFonts w:ascii="Times New Roman" w:hAnsi="Times New Roman"/>
      <w:b w:val="0"/>
      <w:i w:val="0"/>
      <w:color w:val="000000"/>
      <w:sz w:val="24"/>
      <w:u w:val="none"/>
    </w:rPr>
  </w:style>
  <w:style w:type="paragraph" w:customStyle="1" w:styleId="ReferenceEntry">
    <w:name w:val="Reference Entry"/>
    <w:basedOn w:val="Normal"/>
    <w:next w:val="Normal"/>
    <w:unhideWhenUsed/>
    <w:qFormat/>
    <w:pPr>
      <w:keepNext w:val="0"/>
      <w:keepLines/>
      <w:pageBreakBefore w:val="0"/>
      <w:widowControl/>
      <w:spacing w:before="0" w:after="0" w:line="480" w:lineRule="auto"/>
      <w:ind w:left="720" w:right="0" w:hanging="720"/>
      <w:jc w:val="left"/>
    </w:pPr>
    <w:rPr>
      <w:rFonts w:ascii="Times New Roman" w:hAnsi="Times New Roman"/>
      <w:b w:val="0"/>
      <w:color w:val="000000"/>
      <w:sz w:val="24"/>
      <w:u w:val="none"/>
    </w:rPr>
  </w:style>
  <w:style w:type="paragraph" w:customStyle="1" w:styleId="Annotation">
    <w:name w:val="Annotation"/>
    <w:basedOn w:val="Normal"/>
    <w:unhideWhenUsed/>
    <w:qFormat/>
    <w:pPr>
      <w:keepNext w:val="0"/>
      <w:keepLines w:val="0"/>
      <w:pageBreakBefore w:val="0"/>
      <w:widowControl/>
      <w:spacing w:before="0" w:after="0" w:line="480" w:lineRule="auto"/>
      <w:ind w:left="720" w:right="0" w:firstLine="0"/>
      <w:jc w:val="left"/>
    </w:pPr>
    <w:rPr>
      <w:rFonts w:ascii="Times New Roman" w:hAnsi="Times New Roman"/>
      <w:b w:val="0"/>
      <w:color w:val="000000"/>
      <w:sz w:val="24"/>
      <w:u w:val="none"/>
    </w:rPr>
  </w:style>
  <w:style w:type="paragraph" w:customStyle="1" w:styleId="FigureLabel">
    <w:name w:val="Figure Label"/>
    <w:basedOn w:val="Normal"/>
    <w:unhideWhenUsed/>
    <w:qFormat/>
    <w:pPr>
      <w:keepNext/>
      <w:keepLines/>
      <w:pageBreakBefore w:val="0"/>
      <w:widowControl/>
      <w:spacing w:before="240" w:after="0" w:line="480" w:lineRule="auto"/>
      <w:ind w:firstLine="0"/>
      <w:jc w:val="left"/>
    </w:pPr>
    <w:rPr>
      <w:rFonts w:ascii="Times New Roman" w:hAnsi="Times New Roman"/>
      <w:b/>
      <w:sz w:val="24"/>
    </w:rPr>
  </w:style>
  <w:style w:type="paragraph" w:customStyle="1" w:styleId="FigureCaption">
    <w:name w:val="Figure Caption"/>
    <w:basedOn w:val="Normal"/>
    <w:next w:val="Normal"/>
    <w:unhideWhenUsed/>
    <w:qFormat/>
    <w:pPr>
      <w:keepNext w:val="0"/>
      <w:keepLines/>
      <w:pageBreakBefore w:val="0"/>
      <w:widowControl/>
      <w:spacing w:before="0" w:after="240" w:line="480" w:lineRule="auto"/>
      <w:ind w:firstLine="0"/>
      <w:jc w:val="center"/>
    </w:pPr>
    <w:rPr>
      <w:rFonts w:ascii="Times New Roman" w:hAnsi="Times New Roman"/>
      <w:i/>
      <w:sz w:val="24"/>
    </w:rPr>
  </w:style>
  <w:style w:type="paragraph" w:customStyle="1" w:styleId="TableLabel">
    <w:name w:val="Table Label"/>
    <w:basedOn w:val="Normal"/>
    <w:unhideWhenUsed/>
    <w:qFormat/>
    <w:pPr>
      <w:keepNext/>
      <w:keepLines/>
      <w:pageBreakBefore w:val="0"/>
      <w:widowControl/>
      <w:spacing w:before="240" w:after="0" w:line="480" w:lineRule="auto"/>
      <w:ind w:left="0" w:right="0" w:firstLine="0"/>
      <w:jc w:val="left"/>
    </w:pPr>
    <w:rPr>
      <w:rFonts w:ascii="Times New Roman" w:hAnsi="Times New Roman"/>
      <w:b/>
      <w:sz w:val="24"/>
    </w:rPr>
  </w:style>
  <w:style w:type="paragraph" w:customStyle="1" w:styleId="TableTitle">
    <w:name w:val="Table Title"/>
    <w:basedOn w:val="Normal"/>
    <w:next w:val="Normal"/>
    <w:unhideWhenUsed/>
    <w:qFormat/>
    <w:pPr>
      <w:keepNext/>
      <w:keepLines/>
      <w:pageBreakBefore w:val="0"/>
      <w:widowControl/>
      <w:spacing w:before="0" w:after="120" w:line="480" w:lineRule="auto"/>
      <w:ind w:left="0" w:right="0" w:firstLine="0"/>
      <w:jc w:val="left"/>
    </w:pPr>
    <w:rPr>
      <w:rFonts w:ascii="Times New Roman" w:hAnsi="Times New Roman"/>
      <w:i/>
      <w:sz w:val="24"/>
    </w:rPr>
  </w:style>
  <w:style w:type="paragraph" w:customStyle="1" w:styleId="TableBody">
    <w:name w:val="Table Body"/>
    <w:basedOn w:val="Normal"/>
    <w:unhideWhenUsed/>
    <w:qFormat/>
    <w:pPr>
      <w:keepNext/>
      <w:keepLines/>
      <w:pageBreakBefore w:val="0"/>
      <w:widowControl/>
      <w:spacing w:before="0" w:after="0" w:line="240" w:lineRule="auto"/>
      <w:ind w:left="0" w:right="0" w:firstLine="0"/>
      <w:jc w:val="left"/>
    </w:pPr>
    <w:rPr>
      <w:rFonts w:ascii="Times New Roman" w:hAnsi="Times New Roman"/>
      <w:b w:val="0"/>
      <w:i w:val="0"/>
      <w:color w:val="000000"/>
      <w:sz w:val="24"/>
      <w:u w:val="none"/>
    </w:rPr>
  </w:style>
  <w:style w:type="paragraph" w:customStyle="1" w:styleId="TableNote">
    <w:name w:val="Table Note"/>
    <w:basedOn w:val="Normal"/>
    <w:next w:val="Normal"/>
    <w:unhideWhenUsed/>
    <w:qFormat/>
    <w:pPr>
      <w:keepNext w:val="0"/>
      <w:keepLines/>
      <w:pageBreakBefore w:val="0"/>
      <w:widowControl/>
      <w:spacing w:before="120" w:after="240" w:line="480" w:lineRule="auto"/>
      <w:ind w:left="0" w:right="0" w:firstLine="0"/>
      <w:jc w:val="left"/>
    </w:pPr>
    <w:rPr>
      <w:rFonts w:ascii="Times New Roman" w:hAnsi="Times New Roman"/>
      <w:sz w:val="24"/>
    </w:rPr>
  </w:style>
  <w:style w:type="paragraph" w:customStyle="1" w:styleId="FootnoteText">
    <w:name w:val="Footnote Text"/>
    <w:basedOn w:val="Normal"/>
    <w:next w:val="Normal"/>
    <w:unhideWhenUsed/>
    <w:qFormat/>
    <w:pPr>
      <w:keepNext w:val="0"/>
      <w:keepLines/>
      <w:pageBreakBefore w:val="0"/>
      <w:widowControl/>
      <w:spacing w:before="0" w:after="0" w:line="480" w:lineRule="auto"/>
      <w:ind w:left="0" w:right="0" w:firstLine="720"/>
      <w:jc w:val="left"/>
    </w:pPr>
    <w:rPr>
      <w:rFonts w:ascii="Times New Roman" w:hAnsi="Times New Roman"/>
      <w:b w:val="0"/>
      <w:i w:val="0"/>
      <w:sz w:val="20"/>
    </w:rPr>
  </w:style>
  <w:style w:type="paragraph" w:customStyle="1" w:styleId="AppendixTitle">
    <w:name w:val="Appendix Title"/>
    <w:basedOn w:val="Normal"/>
    <w:next w:val="Normal"/>
    <w:unhideWhenUsed/>
    <w:qFormat/>
    <w:pPr>
      <w:keepNext/>
      <w:keepLines/>
      <w:pageBreakBefore/>
      <w:spacing w:before="0" w:after="0" w:line="480" w:lineRule="auto"/>
      <w:ind w:firstLine="0"/>
      <w:jc w:val="center"/>
      <w:outlineLvl w:val="0"/>
    </w:pPr>
    <w:rPr>
      <w:rFonts w:ascii="Times New Roman" w:hAnsi="Times New Roman"/>
      <w:b/>
      <w:i w:val="0"/>
      <w:color w:val="000000"/>
      <w:sz w:val="24"/>
      <w:u w:val="none"/>
    </w:rPr>
  </w:style>
  <w:style w:type="paragraph" w:customStyle="1" w:styleId="AppendicesTitle">
    <w:name w:val="Appendices Title"/>
    <w:basedOn w:val="Normal"/>
    <w:next w:val="Normal"/>
    <w:unhideWhenUsed/>
    <w:qFormat/>
    <w:pPr>
      <w:keepNext/>
      <w:keepLines/>
      <w:pageBreakBefore/>
      <w:spacing w:before="0" w:after="0" w:line="480" w:lineRule="auto"/>
      <w:ind w:firstLine="0"/>
      <w:jc w:val="center"/>
      <w:outlineLvl w:val="0"/>
    </w:pPr>
    <w:rPr>
      <w:rFonts w:ascii="Times New Roman" w:hAnsi="Times New Roman"/>
      <w:b/>
      <w:i w:val="0"/>
      <w:color w:val="000000"/>
      <w:sz w:val="24"/>
      <w:u w:val="none"/>
    </w:rPr>
  </w:style>
  <w:style w:type="paragraph" w:customStyle="1" w:styleId="ListAlphabet">
    <w:name w:val="List Alphabet"/>
    <w:basedOn w:val="Normal"/>
    <w:unhideWhenUsed/>
    <w:qFormat/>
    <w:pPr>
      <w:keepNext w:val="0"/>
      <w:keepLines/>
      <w:pageBreakBefore w:val="0"/>
      <w:widowControl/>
      <w:spacing w:before="0" w:after="0" w:line="480" w:lineRule="auto"/>
      <w:ind w:left="360" w:right="0" w:hanging="360"/>
      <w:jc w:val="left"/>
    </w:pPr>
    <w:rPr>
      <w:rFonts w:ascii="Times New Roman" w:hAnsi="Times New Roman"/>
      <w:b w:val="0"/>
      <w:i w:val="0"/>
      <w:color w:val="000000"/>
      <w:sz w:val="24"/>
      <w:u w:val="none"/>
    </w:rPr>
  </w:style>
  <w:style w:type="paragraph" w:customStyle="1" w:styleId="ListItem">
    <w:name w:val="List Item"/>
    <w:basedOn w:val="Normal"/>
    <w:unhideWhenUsed/>
    <w:qFormat/>
    <w:pPr>
      <w:keepNext w:val="0"/>
      <w:keepLines/>
      <w:pageBreakBefore w:val="0"/>
      <w:widowControl/>
      <w:spacing w:before="0" w:after="0" w:line="480" w:lineRule="auto"/>
      <w:ind w:left="360" w:right="0" w:hanging="360"/>
      <w:jc w:val="left"/>
    </w:pPr>
    <w:rPr>
      <w:rFonts w:ascii="Times New Roman" w:hAnsi="Times New Roman"/>
      <w:b w:val="0"/>
      <w:i w:val="0"/>
      <w:color w:val="000000"/>
      <w:sz w:val="24"/>
      <w:u w:val="none"/>
    </w:rPr>
  </w:style>
  <w:style w:type="paragraph" w:customStyle="1" w:styleId="TableContent">
    <w:name w:val="Table Content"/>
    <w:basedOn w:val="Normal"/>
    <w:unhideWhenUsed/>
    <w:qFormat/>
    <w:pPr>
      <w:keepLines w:val="0"/>
      <w:pageBreakBefore w:val="0"/>
      <w:widowControl/>
      <w:spacing w:before="0" w:after="0" w:line="240" w:lineRule="auto"/>
      <w:ind w:left="0" w:right="0" w:firstLine="0"/>
      <w:jc w:val="left"/>
    </w:pPr>
    <w:rPr>
      <w:rFonts w:ascii="Times New Roman" w:hAnsi="Times New Roman"/>
      <w:b w:val="0"/>
      <w:i w:val="0"/>
      <w:color w:val="000000"/>
      <w:sz w:val="24"/>
      <w:u w:val="none"/>
    </w:rPr>
  </w:style>
  <w:style w:type="paragraph" w:customStyle="1" w:styleId="CodeBlock">
    <w:name w:val="Code Block"/>
    <w:basedOn w:val="Normal"/>
    <w:next w:val="Normal"/>
    <w:unhideWhenUsed/>
    <w:qFormat/>
    <w:pPr>
      <w:keepLines/>
      <w:pageBreakBefore w:val="0"/>
      <w:widowControl/>
      <w:spacing w:before="240" w:after="240" w:line="240" w:lineRule="auto"/>
      <w:ind w:left="720" w:right="720" w:firstLine="0"/>
      <w:jc w:val="left"/>
    </w:pPr>
    <w:rPr>
      <w:rFonts w:ascii="Courier New" w:hAnsi="Courier New"/>
      <w:b w:val="0"/>
      <w:i w:val="0"/>
      <w:color w:val="000000"/>
      <w:sz w:val="20"/>
      <w:u w:val="non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